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Приложение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:rsidR="00CA2CC7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Черемховского районного</w:t>
      </w:r>
    </w:p>
    <w:p w:rsidR="00931D30" w:rsidRPr="00F72C05" w:rsidRDefault="00CA2CC7" w:rsidP="00CA2CC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31D30" w:rsidRPr="00F72C05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931D30" w:rsidRPr="00F72C05">
        <w:rPr>
          <w:sz w:val="24"/>
          <w:szCs w:val="24"/>
        </w:rPr>
        <w:t xml:space="preserve">образования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от «</w:t>
      </w:r>
      <w:r w:rsidR="00F23D08">
        <w:rPr>
          <w:sz w:val="24"/>
          <w:szCs w:val="24"/>
        </w:rPr>
        <w:t>14</w:t>
      </w:r>
      <w:r w:rsidRPr="00F72C05">
        <w:rPr>
          <w:sz w:val="24"/>
          <w:szCs w:val="24"/>
        </w:rPr>
        <w:t>»</w:t>
      </w:r>
      <w:r w:rsidR="00F23D08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 xml:space="preserve">2016г.  </w:t>
      </w:r>
      <w:r w:rsidRPr="00F72C05">
        <w:rPr>
          <w:sz w:val="24"/>
          <w:szCs w:val="24"/>
        </w:rPr>
        <w:t xml:space="preserve">№ </w:t>
      </w:r>
      <w:r w:rsidR="00F23D08">
        <w:rPr>
          <w:sz w:val="24"/>
          <w:szCs w:val="24"/>
        </w:rPr>
        <w:t>435</w:t>
      </w:r>
    </w:p>
    <w:p w:rsidR="00931D30" w:rsidRPr="00942706" w:rsidRDefault="00931D30" w:rsidP="00CA2CC7">
      <w:pPr>
        <w:jc w:val="right"/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341">
        <w:rPr>
          <w:sz w:val="28"/>
          <w:szCs w:val="28"/>
        </w:rPr>
        <w:t>на 201</w:t>
      </w:r>
      <w:r w:rsidR="001D6C25">
        <w:rPr>
          <w:sz w:val="28"/>
          <w:szCs w:val="28"/>
        </w:rPr>
        <w:t>7</w:t>
      </w:r>
      <w:r w:rsidRPr="00190341">
        <w:rPr>
          <w:sz w:val="28"/>
          <w:szCs w:val="28"/>
        </w:rPr>
        <w:t>-201</w:t>
      </w:r>
      <w:r w:rsidR="001D6C25">
        <w:rPr>
          <w:sz w:val="28"/>
          <w:szCs w:val="28"/>
        </w:rPr>
        <w:t>9</w:t>
      </w:r>
      <w:r w:rsidRPr="0019034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31D30" w:rsidRPr="00942706" w:rsidRDefault="00F23D08" w:rsidP="00931D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в редакции постановления от 13.03.2017г. </w:t>
      </w:r>
      <w:proofErr w:type="gramEnd"/>
      <w:r>
        <w:rPr>
          <w:sz w:val="28"/>
          <w:szCs w:val="28"/>
        </w:rPr>
        <w:t>№ 130)</w:t>
      </w:r>
      <w:bookmarkStart w:id="0" w:name="_GoBack"/>
      <w:bookmarkEnd w:id="0"/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232251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Черемхов</w:t>
      </w:r>
      <w:r w:rsidR="00232251">
        <w:rPr>
          <w:rFonts w:ascii="Times New Roman" w:hAnsi="Times New Roman" w:cs="Times New Roman"/>
          <w:sz w:val="28"/>
          <w:szCs w:val="28"/>
        </w:rPr>
        <w:t>ский район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0" w:rsidRPr="00931D30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1D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6C3C83" w:rsidRPr="00D812D4" w:rsidRDefault="006C3C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 xml:space="preserve">«Управление муниципальными финансами </w:t>
            </w:r>
            <w:r w:rsidR="007B6419" w:rsidRPr="00D812D4">
              <w:rPr>
                <w:rFonts w:ascii="Times New Roman" w:hAnsi="Times New Roman" w:cs="Times New Roman"/>
              </w:rPr>
              <w:t xml:space="preserve">Черемховского районного муниципального образования </w:t>
            </w:r>
            <w:r w:rsidRPr="00D812D4">
              <w:rPr>
                <w:rFonts w:ascii="Times New Roman" w:hAnsi="Times New Roman" w:cs="Times New Roman"/>
              </w:rPr>
              <w:t>на 2017-2019 годы»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1. </w:t>
            </w:r>
            <w:r w:rsidR="007B6419" w:rsidRPr="00D812D4">
              <w:rPr>
                <w:sz w:val="26"/>
                <w:szCs w:val="26"/>
              </w:rPr>
              <w:t>Бюджетный кодекс Российской Федерации</w:t>
            </w:r>
            <w:r w:rsidRPr="00D812D4">
              <w:rPr>
                <w:sz w:val="26"/>
                <w:szCs w:val="26"/>
              </w:rPr>
              <w:t>;</w:t>
            </w:r>
            <w:r w:rsidR="007B6419" w:rsidRPr="00D812D4">
              <w:rPr>
                <w:sz w:val="26"/>
                <w:szCs w:val="26"/>
              </w:rPr>
              <w:t xml:space="preserve"> 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2. </w:t>
            </w:r>
            <w:r w:rsidR="007B6419" w:rsidRPr="00D812D4">
              <w:rPr>
                <w:sz w:val="26"/>
                <w:szCs w:val="26"/>
              </w:rPr>
              <w:t>Федеральный закон от 06.10.2003</w:t>
            </w:r>
            <w:r w:rsidR="00303580" w:rsidRPr="00D812D4">
              <w:rPr>
                <w:sz w:val="26"/>
                <w:szCs w:val="26"/>
              </w:rPr>
              <w:t xml:space="preserve"> №131-ФЗ «Об общих принципах организации местного самоуправления в Российской Федерации»</w:t>
            </w:r>
            <w:r w:rsidRPr="00D812D4">
              <w:rPr>
                <w:sz w:val="26"/>
                <w:szCs w:val="26"/>
              </w:rPr>
              <w:t>;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3.</w:t>
            </w:r>
            <w:r w:rsidR="00303580" w:rsidRPr="00D812D4">
              <w:rPr>
                <w:sz w:val="26"/>
                <w:szCs w:val="26"/>
              </w:rPr>
              <w:t xml:space="preserve">  Программ</w:t>
            </w:r>
            <w:r w:rsidR="00884883" w:rsidRPr="00D812D4">
              <w:rPr>
                <w:sz w:val="26"/>
                <w:szCs w:val="26"/>
              </w:rPr>
              <w:t>а</w:t>
            </w:r>
            <w:r w:rsidR="00303580" w:rsidRPr="00D812D4">
              <w:rPr>
                <w:sz w:val="26"/>
                <w:szCs w:val="26"/>
              </w:rPr>
              <w:t xml:space="preserve"> повышения эффективности управления общественными</w:t>
            </w:r>
            <w:r w:rsidR="00884883" w:rsidRPr="00D812D4">
              <w:rPr>
                <w:sz w:val="26"/>
                <w:szCs w:val="26"/>
              </w:rPr>
              <w:t xml:space="preserve"> </w:t>
            </w:r>
            <w:r w:rsidR="00303580" w:rsidRPr="00D812D4">
              <w:rPr>
                <w:sz w:val="26"/>
                <w:szCs w:val="26"/>
              </w:rPr>
              <w:t>(государственными и муниципальными) финансами на период до 2018 года, утвержденн</w:t>
            </w:r>
            <w:r w:rsidR="008A0699" w:rsidRPr="00D812D4">
              <w:rPr>
                <w:sz w:val="26"/>
                <w:szCs w:val="26"/>
              </w:rPr>
              <w:t>ая</w:t>
            </w:r>
            <w:r w:rsidR="00303580" w:rsidRPr="00D812D4">
              <w:rPr>
                <w:sz w:val="26"/>
                <w:szCs w:val="26"/>
              </w:rPr>
              <w:t xml:space="preserve">  распоряжением Правительства Российской </w:t>
            </w:r>
            <w:r w:rsidR="00884883" w:rsidRPr="00D812D4">
              <w:rPr>
                <w:sz w:val="26"/>
                <w:szCs w:val="26"/>
              </w:rPr>
              <w:t xml:space="preserve"> </w:t>
            </w:r>
            <w:r w:rsidR="00303580" w:rsidRPr="00D812D4">
              <w:rPr>
                <w:sz w:val="26"/>
                <w:szCs w:val="26"/>
              </w:rPr>
              <w:t>Федерации от 30 декабря 2013 № 2593-р</w:t>
            </w:r>
            <w:r w:rsidRPr="00D812D4">
              <w:rPr>
                <w:sz w:val="26"/>
                <w:szCs w:val="26"/>
              </w:rPr>
              <w:t>;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4. </w:t>
            </w:r>
            <w:r w:rsidR="002429DA" w:rsidRPr="00D812D4">
              <w:rPr>
                <w:sz w:val="26"/>
                <w:szCs w:val="26"/>
              </w:rPr>
              <w:t>Порядок разработки, реализации и оценки эффективности муниципальных программ Черемховского районного муниципального образования, утвержденны</w:t>
            </w:r>
            <w:r w:rsidRPr="00D812D4">
              <w:rPr>
                <w:sz w:val="26"/>
                <w:szCs w:val="26"/>
              </w:rPr>
              <w:t>й</w:t>
            </w:r>
            <w:r w:rsidR="002429DA" w:rsidRPr="00D812D4">
              <w:rPr>
                <w:sz w:val="26"/>
                <w:szCs w:val="26"/>
              </w:rPr>
              <w:t xml:space="preserve"> постановлением администрации Черемховского районного муниципального образования от 17.12.2015 № 526 (с изменениями, внесенными постановлением администрации Черемховского районного муниципального образования от 03.03.2016</w:t>
            </w:r>
            <w:r w:rsidR="00547EA4" w:rsidRPr="00D812D4">
              <w:rPr>
                <w:sz w:val="26"/>
                <w:szCs w:val="26"/>
              </w:rPr>
              <w:t xml:space="preserve"> </w:t>
            </w:r>
            <w:r w:rsidR="002429DA" w:rsidRPr="00D812D4">
              <w:rPr>
                <w:sz w:val="26"/>
                <w:szCs w:val="26"/>
              </w:rPr>
              <w:t>№ 105)</w:t>
            </w:r>
            <w:r w:rsidRPr="00D812D4">
              <w:rPr>
                <w:sz w:val="26"/>
                <w:szCs w:val="26"/>
              </w:rPr>
              <w:t>;</w:t>
            </w:r>
          </w:p>
          <w:p w:rsidR="006C3C83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5.</w:t>
            </w:r>
            <w:r w:rsidR="002429DA" w:rsidRPr="00D812D4">
              <w:rPr>
                <w:sz w:val="26"/>
                <w:szCs w:val="26"/>
              </w:rPr>
              <w:t xml:space="preserve"> </w:t>
            </w:r>
            <w:r w:rsidRPr="00D812D4">
              <w:rPr>
                <w:sz w:val="26"/>
                <w:szCs w:val="26"/>
              </w:rPr>
              <w:t>П</w:t>
            </w:r>
            <w:r w:rsidR="00547EA4" w:rsidRPr="00D812D4">
              <w:rPr>
                <w:sz w:val="26"/>
                <w:szCs w:val="26"/>
              </w:rPr>
              <w:t>остановление администрации Черемховского районного муниципального образования  от 26.07.2016 № 332 «Об утверждении перечня муниципальных программ в Черемховском районном муниципальном образовании, предполагаемых к реализации на период 2017-2019 годов»</w:t>
            </w:r>
            <w:r w:rsidRPr="00D812D4">
              <w:rPr>
                <w:sz w:val="26"/>
                <w:szCs w:val="26"/>
              </w:rPr>
              <w:t>.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6C3C83" w:rsidRPr="00D812D4" w:rsidRDefault="008848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образования»</w:t>
            </w:r>
            <w:r w:rsidR="008A0699" w:rsidRPr="00D812D4">
              <w:rPr>
                <w:rFonts w:ascii="Times New Roman" w:hAnsi="Times New Roman" w:cs="Times New Roman"/>
              </w:rPr>
              <w:t>, структурные подразделения администрации Черемховского районного муниципального образования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12D4">
              <w:rPr>
                <w:rFonts w:ascii="Times New Roman" w:hAnsi="Times New Roman" w:cs="Times New Roman"/>
                <w:color w:val="000000"/>
              </w:rPr>
              <w:t>Повышение качества управления муниципальными финансами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1. Обеспечение сбалансированности и устойчивости бюджета;</w:t>
            </w:r>
          </w:p>
          <w:p w:rsidR="00DC7437" w:rsidRPr="00D812D4" w:rsidRDefault="00A17C5D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2</w:t>
            </w:r>
            <w:r w:rsidR="00DC7437" w:rsidRPr="00D812D4">
              <w:rPr>
                <w:rFonts w:ascii="Times New Roman" w:hAnsi="Times New Roman" w:cs="Times New Roman"/>
              </w:rPr>
              <w:t>. Повышение эффективности расходования средств бюджета;</w:t>
            </w:r>
          </w:p>
          <w:p w:rsidR="00DC7437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3</w:t>
            </w:r>
            <w:r w:rsidR="00DC7437" w:rsidRPr="00D812D4">
              <w:rPr>
                <w:sz w:val="26"/>
                <w:szCs w:val="26"/>
              </w:rPr>
              <w:t xml:space="preserve">. Управление муниципальным долгом и его </w:t>
            </w:r>
            <w:r w:rsidR="00DC7437" w:rsidRPr="00D812D4">
              <w:rPr>
                <w:sz w:val="26"/>
                <w:szCs w:val="26"/>
              </w:rPr>
              <w:lastRenderedPageBreak/>
              <w:t>обслуживание;</w:t>
            </w:r>
          </w:p>
          <w:p w:rsidR="00DC7437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4</w:t>
            </w:r>
            <w:r w:rsidR="00DC7437" w:rsidRPr="00D812D4">
              <w:rPr>
                <w:sz w:val="26"/>
                <w:szCs w:val="26"/>
              </w:rPr>
              <w:t xml:space="preserve">. Обеспечение </w:t>
            </w:r>
            <w:r w:rsidR="00F45D6B">
              <w:rPr>
                <w:sz w:val="26"/>
                <w:szCs w:val="26"/>
              </w:rPr>
              <w:t xml:space="preserve">качественного </w:t>
            </w:r>
            <w:r w:rsidR="00DC7437" w:rsidRPr="00D812D4">
              <w:rPr>
                <w:sz w:val="26"/>
                <w:szCs w:val="26"/>
              </w:rPr>
              <w:t>ведения бухгалтерского учета, сдачи отчетности муниципальных учреждений;</w:t>
            </w:r>
          </w:p>
          <w:p w:rsidR="00A17C5D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5. Развитие автоматизированных систем управления муниципальными финансами;</w:t>
            </w:r>
          </w:p>
          <w:p w:rsidR="00DC7437" w:rsidRPr="00D812D4" w:rsidRDefault="00DC7437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6. Осуществление внутреннего финансового контроля в бюджетной сфере</w:t>
            </w:r>
            <w:r w:rsidR="00B22048" w:rsidRPr="00D812D4">
              <w:rPr>
                <w:sz w:val="26"/>
                <w:szCs w:val="26"/>
              </w:rPr>
              <w:t>;</w:t>
            </w:r>
          </w:p>
          <w:p w:rsidR="00DF3EEE" w:rsidRPr="00D812D4" w:rsidRDefault="00B22048" w:rsidP="00DF3EEE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7.  </w:t>
            </w:r>
            <w:r w:rsidR="00DF3EEE" w:rsidRPr="00D812D4">
              <w:rPr>
                <w:sz w:val="26"/>
                <w:szCs w:val="26"/>
              </w:rPr>
              <w:t xml:space="preserve">Предоставление из </w:t>
            </w:r>
            <w:r w:rsidR="00877F79">
              <w:rPr>
                <w:sz w:val="26"/>
                <w:szCs w:val="26"/>
              </w:rPr>
              <w:t>районного фонда финансовой поддержки поселений</w:t>
            </w:r>
            <w:r w:rsidR="00DF3EEE" w:rsidRPr="00D812D4">
              <w:rPr>
                <w:sz w:val="26"/>
                <w:szCs w:val="26"/>
              </w:rPr>
              <w:t xml:space="preserve"> дотаций на выравнивание уровня бюджетной обеспеченности  бюджетов поселений</w:t>
            </w:r>
          </w:p>
          <w:p w:rsidR="00DC7437" w:rsidRPr="00D812D4" w:rsidRDefault="00DC7437" w:rsidP="00A17C5D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82386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2017-2019 годы</w:t>
            </w:r>
          </w:p>
        </w:tc>
      </w:tr>
      <w:tr w:rsidR="007133DC" w:rsidRPr="00303580" w:rsidTr="00884883">
        <w:trPr>
          <w:jc w:val="center"/>
        </w:trPr>
        <w:tc>
          <w:tcPr>
            <w:tcW w:w="2660" w:type="dxa"/>
          </w:tcPr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7133DC" w:rsidRPr="007133DC" w:rsidRDefault="007133DC" w:rsidP="007133D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128 406,5 тыс. рублей, в том числе:</w:t>
            </w:r>
          </w:p>
          <w:p w:rsidR="007133DC" w:rsidRPr="007133DC" w:rsidRDefault="007133DC" w:rsidP="007133DC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по годам реализации муниципальной программы:</w:t>
            </w:r>
          </w:p>
          <w:p w:rsidR="007133DC" w:rsidRPr="007133DC" w:rsidRDefault="007133DC" w:rsidP="007133D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18" w:hanging="618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49 985,8 тыс. рублей;</w:t>
            </w:r>
          </w:p>
          <w:p w:rsidR="007133DC" w:rsidRPr="007133DC" w:rsidRDefault="007133DC" w:rsidP="007133D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39 110,3 тыс. рублей;</w:t>
            </w:r>
          </w:p>
          <w:p w:rsidR="007133DC" w:rsidRPr="007133DC" w:rsidRDefault="007133DC" w:rsidP="007133D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 год – 39 310,4 тыс. рублей.</w:t>
            </w:r>
          </w:p>
          <w:p w:rsidR="007133DC" w:rsidRPr="007133DC" w:rsidRDefault="007133DC" w:rsidP="007133DC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по источникам финансирования:</w:t>
            </w:r>
          </w:p>
          <w:p w:rsidR="007133DC" w:rsidRPr="007133DC" w:rsidRDefault="007133DC" w:rsidP="007133D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Областной бюджет:</w:t>
            </w:r>
          </w:p>
          <w:p w:rsidR="007133DC" w:rsidRPr="007133DC" w:rsidRDefault="007133DC" w:rsidP="007133DC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hanging="929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37 908,6 тыс. рублей;</w:t>
            </w:r>
          </w:p>
          <w:p w:rsidR="007133DC" w:rsidRPr="007133DC" w:rsidRDefault="007133DC" w:rsidP="007133DC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hanging="929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27 400,4 тыс. рублей;</w:t>
            </w:r>
          </w:p>
          <w:p w:rsidR="007133DC" w:rsidRPr="007133DC" w:rsidRDefault="007133DC" w:rsidP="007133D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ind w:left="360" w:hanging="329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 год – 27 169,5 тыс. рублей.</w:t>
            </w:r>
          </w:p>
          <w:p w:rsidR="007133DC" w:rsidRPr="007133DC" w:rsidRDefault="007133DC" w:rsidP="007133D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ind w:left="31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Местный бюджет:</w:t>
            </w:r>
          </w:p>
          <w:p w:rsidR="007133DC" w:rsidRPr="007133DC" w:rsidRDefault="007133DC" w:rsidP="007133D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hanging="929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12 077,2 тыс. рублей;</w:t>
            </w:r>
          </w:p>
          <w:p w:rsidR="007133DC" w:rsidRPr="007133DC" w:rsidRDefault="007133DC" w:rsidP="007133D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hanging="929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11 709,9 тыс. рублей;</w:t>
            </w:r>
          </w:p>
          <w:p w:rsidR="007133DC" w:rsidRPr="007133DC" w:rsidRDefault="007133DC" w:rsidP="007133D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ind w:left="360" w:hanging="329"/>
              <w:jc w:val="both"/>
              <w:rPr>
                <w:rFonts w:ascii="Times New Roman" w:hAnsi="Times New Roman" w:cs="Times New Roman"/>
              </w:rPr>
            </w:pPr>
            <w:r w:rsidRPr="007133DC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 год – 12 140,9 тыс. рублей.</w:t>
            </w:r>
          </w:p>
        </w:tc>
      </w:tr>
      <w:tr w:rsidR="007133DC" w:rsidRPr="00303580" w:rsidTr="00884883">
        <w:trPr>
          <w:jc w:val="center"/>
        </w:trPr>
        <w:tc>
          <w:tcPr>
            <w:tcW w:w="2660" w:type="dxa"/>
          </w:tcPr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результаты реализации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7133DC" w:rsidRPr="00D812D4" w:rsidRDefault="007133DC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1. Ежегодный рост поступлений налоговых и неналоговых доходов бюджета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</w:rPr>
              <w:t>: 2017 год - на 0,1 %, 2018 год – на 4,4 %, 2019 год – на 7,8 %;</w:t>
            </w:r>
          </w:p>
          <w:p w:rsidR="007133DC" w:rsidRPr="00D812D4" w:rsidRDefault="007133DC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2. Размер дефицита бюджета Черемховского районного муниципального образования – не более  7,5 %;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3. Открытость деятельности финансового управления и доступность информации о бюджетном процессе;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4. Соблюдение предельного уровня муниципального долга в размере не более 50 % утвержденного годового объема собственных доходов бюджета района;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5. Снижение уровня просроченной кредиторской задолженности;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6.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7133DC" w:rsidRPr="00D812D4" w:rsidRDefault="007133DC" w:rsidP="00816FA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12D4">
              <w:rPr>
                <w:rFonts w:ascii="Times New Roman" w:hAnsi="Times New Roman" w:cs="Times New Roman"/>
              </w:rPr>
              <w:t>7. Обеспечение сбалансированности бюджетов</w:t>
            </w:r>
            <w:r w:rsidR="00816FA2">
              <w:rPr>
                <w:rFonts w:ascii="Times New Roman" w:hAnsi="Times New Roman" w:cs="Times New Roman"/>
              </w:rPr>
              <w:t xml:space="preserve"> </w:t>
            </w:r>
            <w:r w:rsidRPr="00D812D4">
              <w:rPr>
                <w:rFonts w:ascii="Times New Roman" w:hAnsi="Times New Roman" w:cs="Times New Roman"/>
              </w:rPr>
              <w:lastRenderedPageBreak/>
              <w:t>поселений</w:t>
            </w:r>
            <w:r>
              <w:rPr>
                <w:rFonts w:ascii="Times New Roman" w:hAnsi="Times New Roman" w:cs="Times New Roman"/>
              </w:rPr>
              <w:t>: 2017 год – 47 550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уб., 2018 год – 36 837 тыс.руб., 2019 год – 36 892 тыс.руб.</w:t>
            </w:r>
          </w:p>
        </w:tc>
      </w:tr>
    </w:tbl>
    <w:p w:rsidR="00310A72" w:rsidRDefault="00310A72">
      <w:pPr>
        <w:rPr>
          <w:sz w:val="28"/>
          <w:szCs w:val="28"/>
        </w:rPr>
      </w:pPr>
    </w:p>
    <w:p w:rsidR="00823E50" w:rsidRDefault="00823E50">
      <w:pPr>
        <w:rPr>
          <w:sz w:val="28"/>
          <w:szCs w:val="28"/>
        </w:rPr>
      </w:pPr>
    </w:p>
    <w:p w:rsidR="00823E50" w:rsidRDefault="00823E50">
      <w:pPr>
        <w:rPr>
          <w:sz w:val="28"/>
          <w:szCs w:val="28"/>
        </w:rPr>
      </w:pPr>
    </w:p>
    <w:p w:rsidR="00823E50" w:rsidRDefault="00823E50">
      <w:pPr>
        <w:rPr>
          <w:sz w:val="28"/>
          <w:szCs w:val="28"/>
        </w:rPr>
      </w:pPr>
    </w:p>
    <w:p w:rsidR="00823E50" w:rsidRDefault="00823E50">
      <w:pPr>
        <w:rPr>
          <w:sz w:val="28"/>
          <w:szCs w:val="28"/>
        </w:rPr>
      </w:pPr>
    </w:p>
    <w:p w:rsidR="00823E50" w:rsidRPr="00B24EC9" w:rsidRDefault="00823E50" w:rsidP="00931D30">
      <w:pPr>
        <w:pStyle w:val="a4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9C72C4" w:rsidRPr="00B24EC9" w:rsidRDefault="009C72C4" w:rsidP="009C72C4">
      <w:pPr>
        <w:pStyle w:val="a4"/>
        <w:rPr>
          <w:sz w:val="28"/>
          <w:szCs w:val="28"/>
        </w:rPr>
      </w:pP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Последние годы формирование бюджета Черемховского районного муниципального образования осуществляется с предельным дефицитом, установленным Бюджетным </w:t>
      </w:r>
      <w:hyperlink r:id="rId9" w:history="1">
        <w:r w:rsidRPr="00B24EC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B24EC9">
        <w:rPr>
          <w:sz w:val="28"/>
          <w:szCs w:val="28"/>
        </w:rPr>
        <w:t xml:space="preserve"> Российской Федерации. Несмотря на меры, предпринимаемые главными распорядителями бюджетных средств по сокращению неэффективных расходов и оптимизации бюджетной сети, доходных источников недостаточно для обеспечения отдельных расходов муниципальных учреждений.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К сожалению, резервы укрепления доходов местного бюджета ограничены. Ежегодно уменьшаются объемы поступлений от использования и продажи имущества, находящегося в муниципальной собственности</w:t>
      </w:r>
      <w:r w:rsidR="00F768F0" w:rsidRPr="00B24EC9">
        <w:rPr>
          <w:sz w:val="28"/>
          <w:szCs w:val="28"/>
        </w:rPr>
        <w:t>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Администрацией Черемховского районного муниципального образования  предпринимаются меры по привлечению кредитов, но объем привлеченных бюджетных кредитов не покрывает дефицит районного бюджета, что приводит к росту кредиторской задолженности.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районного бюджета, а также создать условия для своевременного исполнения районного бюджета получателями бюджетных средств и формирования отчета о его исполнении.</w:t>
      </w: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Основные показатели, характеризующие текущее состояние муниципальных финансов Черемховского районного муниципального образования, представлены в таблице 1 и 2:</w:t>
      </w:r>
    </w:p>
    <w:p w:rsidR="00B24EC9" w:rsidRP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4835"/>
        <w:gridCol w:w="1276"/>
        <w:gridCol w:w="1134"/>
        <w:gridCol w:w="1275"/>
        <w:gridCol w:w="1206"/>
      </w:tblGrid>
      <w:tr w:rsidR="00FC000C" w:rsidRPr="00F74CAC" w:rsidTr="00B24EC9">
        <w:trPr>
          <w:trHeight w:val="30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исполнение (тыс. рублей)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План</w:t>
            </w:r>
            <w:r>
              <w:rPr>
                <w:color w:val="000000"/>
                <w:sz w:val="22"/>
              </w:rPr>
              <w:t xml:space="preserve"> на 01.09.2016</w:t>
            </w:r>
          </w:p>
        </w:tc>
      </w:tr>
      <w:tr w:rsidR="00FC000C" w:rsidRPr="00F74CAC" w:rsidTr="00B24EC9">
        <w:trPr>
          <w:trHeight w:val="30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3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</w:p>
        </w:tc>
      </w:tr>
      <w:tr w:rsidR="00FC000C" w:rsidRPr="00F74CAC" w:rsidTr="00B24EC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725 775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686 467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706 885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753119</w:t>
            </w:r>
          </w:p>
        </w:tc>
      </w:tr>
      <w:tr w:rsidR="00FC000C" w:rsidRPr="00F74CAC" w:rsidTr="00B24EC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93 443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87 614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100 97</w:t>
            </w:r>
            <w:r w:rsidR="007D7E15">
              <w:rPr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98 071</w:t>
            </w:r>
          </w:p>
        </w:tc>
      </w:tr>
      <w:tr w:rsidR="00FC000C" w:rsidRPr="00F74CAC" w:rsidTr="00B24EC9">
        <w:trPr>
          <w:trHeight w:val="3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201 579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123 133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112 370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97 52</w:t>
            </w:r>
            <w:r w:rsidR="007D7E15">
              <w:rPr>
                <w:i/>
                <w:iCs/>
                <w:color w:val="000000"/>
                <w:sz w:val="22"/>
              </w:rPr>
              <w:t>9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430 753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475 720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493</w:t>
            </w:r>
            <w:r w:rsidR="007D7E15">
              <w:rPr>
                <w:i/>
                <w:iCs/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541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557 519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lastRenderedPageBreak/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744 525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687 740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721 155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780 240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Дефицит</w:t>
            </w:r>
            <w:proofErr w:type="gramStart"/>
            <w:r w:rsidRPr="00F74CAC">
              <w:rPr>
                <w:color w:val="000000"/>
                <w:sz w:val="22"/>
              </w:rPr>
              <w:t xml:space="preserve"> (</w:t>
            </w:r>
            <w:r>
              <w:rPr>
                <w:color w:val="000000"/>
                <w:sz w:val="22"/>
              </w:rPr>
              <w:t>«-»</w:t>
            </w:r>
            <w:proofErr w:type="gramEnd"/>
            <w:r w:rsidRPr="00F74CAC">
              <w:rPr>
                <w:color w:val="000000"/>
                <w:sz w:val="22"/>
              </w:rPr>
              <w:t>профицит)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14 270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27 120</w:t>
            </w:r>
          </w:p>
        </w:tc>
      </w:tr>
      <w:tr w:rsidR="00FC000C" w:rsidRPr="00F74CAC" w:rsidTr="00B24EC9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19 947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39 032</w:t>
            </w:r>
          </w:p>
        </w:tc>
      </w:tr>
      <w:tr w:rsidR="00FC000C" w:rsidRPr="00F74CAC" w:rsidTr="00B24EC9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66 712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17 740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19 166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7D7E15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D7E15">
        <w:rPr>
          <w:sz w:val="24"/>
          <w:szCs w:val="24"/>
        </w:rPr>
        <w:t>Таблица 2. Динамика основных показателей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7"/>
        <w:gridCol w:w="1355"/>
        <w:gridCol w:w="1213"/>
        <w:gridCol w:w="1401"/>
      </w:tblGrid>
      <w:tr w:rsidR="00FC000C" w:rsidRPr="00F74CAC" w:rsidTr="00B24EC9">
        <w:trPr>
          <w:trHeight w:val="300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динамика показателей</w:t>
            </w:r>
          </w:p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«</w:t>
            </w:r>
            <w:r w:rsidRPr="00F74CAC">
              <w:rPr>
                <w:color w:val="000000"/>
                <w:sz w:val="22"/>
              </w:rPr>
              <w:t>+</w:t>
            </w:r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рост, </w:t>
            </w:r>
            <w:proofErr w:type="gramStart"/>
            <w:r>
              <w:rPr>
                <w:color w:val="000000"/>
                <w:sz w:val="22"/>
              </w:rPr>
              <w:t>«-</w:t>
            </w:r>
            <w:proofErr w:type="gramEnd"/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снижение)</w:t>
            </w:r>
            <w:r w:rsidR="007D7E15">
              <w:rPr>
                <w:color w:val="000000"/>
                <w:sz w:val="22"/>
              </w:rPr>
              <w:t>, %</w:t>
            </w:r>
          </w:p>
        </w:tc>
      </w:tr>
      <w:tr w:rsidR="00FC000C" w:rsidRPr="00F74CAC" w:rsidTr="00B24EC9">
        <w:trPr>
          <w:trHeight w:val="300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B24EC9">
            <w:pPr>
              <w:ind w:left="34" w:hanging="34"/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6</w:t>
            </w:r>
            <w:r w:rsidRPr="00F74CAC">
              <w:rPr>
                <w:color w:val="000000"/>
                <w:sz w:val="22"/>
              </w:rPr>
              <w:t xml:space="preserve"> г. (план)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7D7E1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+6,5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-2,9</w:t>
            </w:r>
          </w:p>
        </w:tc>
      </w:tr>
      <w:tr w:rsidR="00FC000C" w:rsidRPr="00F74CAC" w:rsidTr="00B24EC9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-13,2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+12,9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+7,6</w:t>
            </w:r>
          </w:p>
        </w:tc>
      </w:tr>
      <w:tr w:rsidR="00FC000C" w:rsidRPr="00F74CAC" w:rsidTr="00B24EC9">
        <w:trPr>
          <w:trHeight w:val="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+96</w:t>
            </w:r>
          </w:p>
        </w:tc>
      </w:tr>
      <w:tr w:rsidR="00FC000C" w:rsidRPr="00F74CAC" w:rsidTr="00B24EC9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Бюджет муниципального района является высокодотационным, доля налоговых и неналоговых доходов бюджета в общем объеме доходов (в среднем за последние три года)</w:t>
      </w:r>
      <w:r w:rsidR="00CE7268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составляет 1</w:t>
      </w:r>
      <w:r w:rsidR="00CE7268" w:rsidRPr="00B24EC9">
        <w:rPr>
          <w:sz w:val="28"/>
          <w:szCs w:val="28"/>
        </w:rPr>
        <w:t>3</w:t>
      </w:r>
      <w:r w:rsidRPr="00B24EC9">
        <w:rPr>
          <w:sz w:val="28"/>
          <w:szCs w:val="28"/>
        </w:rPr>
        <w:t xml:space="preserve">%.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Доля средств финансовой помощи из областного бюджета в общем объеме доходов муниципального района (в среднем за последние три года) составляет </w:t>
      </w:r>
      <w:r w:rsidR="00DF71A0" w:rsidRPr="00B24EC9">
        <w:rPr>
          <w:sz w:val="28"/>
          <w:szCs w:val="28"/>
        </w:rPr>
        <w:t>87</w:t>
      </w:r>
      <w:r w:rsidRPr="00B24EC9">
        <w:rPr>
          <w:sz w:val="28"/>
          <w:szCs w:val="28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целевое назначение, в виде субсидий, субвенций.</w:t>
      </w:r>
    </w:p>
    <w:p w:rsidR="00FC000C" w:rsidRPr="00B24EC9" w:rsidRDefault="00FC000C" w:rsidP="007B6C6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Основным инструментом для покрытия дефицита и обеспечения сбалансированности бюджета муниципального района является привлечение бюджетного кредита. В течение трех последних финансовых лет муниципальному району из областного бюджета были предоставлены бюджетные кредиты со сроком гашения на три года: в 201</w:t>
      </w:r>
      <w:r w:rsidR="00DF71A0" w:rsidRPr="00B24EC9">
        <w:rPr>
          <w:sz w:val="28"/>
          <w:szCs w:val="28"/>
        </w:rPr>
        <w:t>3</w:t>
      </w:r>
      <w:r w:rsidRPr="00B24EC9">
        <w:rPr>
          <w:sz w:val="28"/>
          <w:szCs w:val="28"/>
        </w:rPr>
        <w:t xml:space="preserve"> году – </w:t>
      </w:r>
      <w:r w:rsidR="00DF71A0" w:rsidRPr="00B24EC9">
        <w:rPr>
          <w:sz w:val="28"/>
          <w:szCs w:val="28"/>
        </w:rPr>
        <w:t>13 861</w:t>
      </w:r>
      <w:r w:rsidRPr="00B24EC9">
        <w:rPr>
          <w:sz w:val="28"/>
          <w:szCs w:val="28"/>
        </w:rPr>
        <w:t xml:space="preserve"> тыс. рублей, в 201</w:t>
      </w:r>
      <w:r w:rsidR="00DF71A0" w:rsidRPr="00B24EC9">
        <w:rPr>
          <w:sz w:val="28"/>
          <w:szCs w:val="28"/>
        </w:rPr>
        <w:t>4</w:t>
      </w:r>
      <w:r w:rsidRPr="00B24EC9">
        <w:rPr>
          <w:sz w:val="28"/>
          <w:szCs w:val="28"/>
        </w:rPr>
        <w:t xml:space="preserve"> году – </w:t>
      </w:r>
      <w:r w:rsidR="00DF71A0" w:rsidRPr="00B24EC9">
        <w:rPr>
          <w:sz w:val="28"/>
          <w:szCs w:val="28"/>
        </w:rPr>
        <w:t>13 219</w:t>
      </w:r>
      <w:r w:rsidRPr="00B24EC9">
        <w:rPr>
          <w:sz w:val="28"/>
          <w:szCs w:val="28"/>
        </w:rPr>
        <w:t xml:space="preserve"> тыс. рублей</w:t>
      </w:r>
      <w:r w:rsidR="00DF71A0" w:rsidRPr="00B24EC9">
        <w:rPr>
          <w:sz w:val="28"/>
          <w:szCs w:val="28"/>
        </w:rPr>
        <w:t>, в 2015 году – 4 163 тыс.</w:t>
      </w:r>
      <w:r w:rsidR="006B790E" w:rsidRPr="00B24EC9">
        <w:rPr>
          <w:sz w:val="28"/>
          <w:szCs w:val="28"/>
        </w:rPr>
        <w:t xml:space="preserve"> </w:t>
      </w:r>
      <w:r w:rsidR="00DF71A0" w:rsidRPr="00B24EC9">
        <w:rPr>
          <w:sz w:val="28"/>
          <w:szCs w:val="28"/>
        </w:rPr>
        <w:t>рублей.</w:t>
      </w:r>
      <w:r w:rsidRPr="00B24EC9">
        <w:rPr>
          <w:sz w:val="28"/>
          <w:szCs w:val="28"/>
        </w:rPr>
        <w:t xml:space="preserve"> Бюджетные кредиты имели целевое направление и предоставлялись на </w:t>
      </w:r>
      <w:r w:rsidR="006B790E" w:rsidRPr="00B24EC9">
        <w:rPr>
          <w:sz w:val="28"/>
          <w:szCs w:val="28"/>
        </w:rPr>
        <w:t>выплату заработной платы</w:t>
      </w:r>
      <w:r w:rsidRPr="00B24EC9">
        <w:rPr>
          <w:sz w:val="28"/>
          <w:szCs w:val="28"/>
        </w:rPr>
        <w:t xml:space="preserve">. </w:t>
      </w:r>
      <w:r w:rsidR="006B790E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Муниципальный долг по состоянию на 01.01.2015 год</w:t>
      </w:r>
      <w:r w:rsidR="00D812D4">
        <w:rPr>
          <w:sz w:val="28"/>
          <w:szCs w:val="28"/>
        </w:rPr>
        <w:t>а</w:t>
      </w:r>
      <w:r w:rsidRPr="00B24EC9">
        <w:rPr>
          <w:sz w:val="28"/>
          <w:szCs w:val="28"/>
        </w:rPr>
        <w:t xml:space="preserve"> составил </w:t>
      </w:r>
      <w:r w:rsidR="006B790E" w:rsidRPr="00B24EC9">
        <w:rPr>
          <w:sz w:val="28"/>
          <w:szCs w:val="28"/>
        </w:rPr>
        <w:t>19 947</w:t>
      </w:r>
      <w:r w:rsidRPr="00B24EC9">
        <w:rPr>
          <w:sz w:val="28"/>
          <w:szCs w:val="28"/>
        </w:rPr>
        <w:t xml:space="preserve"> тыс. рублей. В 201</w:t>
      </w:r>
      <w:r w:rsidR="006B790E" w:rsidRPr="00B24EC9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году муниципальному району из областного бюджета был предоставлен бюджетный кредит в сумме </w:t>
      </w:r>
      <w:r w:rsidR="006B790E" w:rsidRPr="00B24EC9">
        <w:rPr>
          <w:sz w:val="28"/>
          <w:szCs w:val="28"/>
        </w:rPr>
        <w:t>23 981</w:t>
      </w:r>
      <w:r w:rsidRPr="00B24EC9">
        <w:rPr>
          <w:sz w:val="28"/>
          <w:szCs w:val="28"/>
        </w:rPr>
        <w:t xml:space="preserve"> тыс. рублей в целях частичного покрытия дефицита местного бюджета с направлением средств на финансирование бюджетных обязательств по выплате заработной платы</w:t>
      </w:r>
      <w:r w:rsidR="006B790E" w:rsidRPr="00B24EC9">
        <w:rPr>
          <w:sz w:val="28"/>
          <w:szCs w:val="28"/>
        </w:rPr>
        <w:t>.</w:t>
      </w:r>
      <w:r w:rsidRPr="00B24EC9">
        <w:rPr>
          <w:sz w:val="28"/>
          <w:szCs w:val="28"/>
        </w:rPr>
        <w:t xml:space="preserve"> </w:t>
      </w:r>
      <w:r w:rsidR="00D25D20" w:rsidRPr="00B24EC9">
        <w:rPr>
          <w:sz w:val="28"/>
          <w:szCs w:val="28"/>
        </w:rPr>
        <w:t xml:space="preserve">По </w:t>
      </w:r>
      <w:r w:rsidR="00D25D20" w:rsidRPr="00B24EC9">
        <w:rPr>
          <w:sz w:val="28"/>
          <w:szCs w:val="28"/>
        </w:rPr>
        <w:lastRenderedPageBreak/>
        <w:t xml:space="preserve">состоянию на 01.09.2016 года Черемховское районное муниципальное образование не имеет просроченной задолженности по бюджетным кредитам. 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муниципального района как надежного заемщика, необходимо осуществить: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заимствований и погашения муниципального долга, оценку сбалансированности и ликвидности бюджета муниципального района;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экономической и бюджетной эффективности муниципальных заимствований.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Объем просроченной кредиторской задолженности муниципального района на 01.01.201</w:t>
      </w:r>
      <w:r w:rsidR="00D516A4" w:rsidRPr="00B24EC9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года составил </w:t>
      </w:r>
      <w:r w:rsidR="00C2027A" w:rsidRPr="00B24EC9">
        <w:rPr>
          <w:sz w:val="28"/>
          <w:szCs w:val="28"/>
        </w:rPr>
        <w:t>17 109</w:t>
      </w:r>
      <w:r w:rsidRPr="00B24EC9">
        <w:rPr>
          <w:sz w:val="28"/>
          <w:szCs w:val="28"/>
        </w:rPr>
        <w:t xml:space="preserve"> тыс. рублей</w:t>
      </w:r>
      <w:r w:rsidR="00C2027A" w:rsidRPr="00B24EC9">
        <w:rPr>
          <w:sz w:val="28"/>
          <w:szCs w:val="28"/>
        </w:rPr>
        <w:t>.</w:t>
      </w:r>
      <w:r w:rsidRPr="00B24EC9">
        <w:rPr>
          <w:sz w:val="28"/>
          <w:szCs w:val="28"/>
        </w:rPr>
        <w:t xml:space="preserve"> Основной объем приходится на задолженность по штрафам и пеням за несвоевременную уплату единого социального налога, образовавшуюся до 2009 года (3</w:t>
      </w:r>
      <w:r w:rsidR="00C2027A" w:rsidRPr="00B24EC9">
        <w:rPr>
          <w:sz w:val="28"/>
          <w:szCs w:val="28"/>
        </w:rPr>
        <w:t>2</w:t>
      </w:r>
      <w:r w:rsidR="00054811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%)</w:t>
      </w:r>
      <w:r w:rsidR="00C2027A" w:rsidRPr="00B24EC9">
        <w:rPr>
          <w:sz w:val="28"/>
          <w:szCs w:val="28"/>
        </w:rPr>
        <w:t xml:space="preserve"> и коммунальные услуги (26</w:t>
      </w:r>
      <w:r w:rsidR="00054811">
        <w:rPr>
          <w:sz w:val="28"/>
          <w:szCs w:val="28"/>
        </w:rPr>
        <w:t xml:space="preserve"> </w:t>
      </w:r>
      <w:r w:rsidR="00C2027A" w:rsidRPr="00B24EC9">
        <w:rPr>
          <w:sz w:val="28"/>
          <w:szCs w:val="28"/>
        </w:rPr>
        <w:t>%)</w:t>
      </w:r>
      <w:r w:rsidRPr="00B24EC9">
        <w:rPr>
          <w:sz w:val="28"/>
          <w:szCs w:val="28"/>
        </w:rPr>
        <w:t>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выполнения бюджетных обязательств муниципального района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Финансовое управление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на постоянной основе анализирует исполнение бюджета и обеспечивает ликвидность счета бюджета, что гарантирует финансирование первоочередных расходов бюджета муниципального района. </w:t>
      </w:r>
    </w:p>
    <w:p w:rsidR="00FC23A9" w:rsidRPr="00B24EC9" w:rsidRDefault="00FC23A9" w:rsidP="00FC2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поселений. 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Ведение бухга</w:t>
      </w:r>
      <w:r w:rsidR="00F96E86" w:rsidRPr="00B24EC9">
        <w:rPr>
          <w:rFonts w:eastAsiaTheme="minorHAnsi"/>
          <w:sz w:val="28"/>
          <w:szCs w:val="28"/>
          <w:lang w:eastAsia="en-US"/>
        </w:rPr>
        <w:t xml:space="preserve">лтерского учета в </w:t>
      </w:r>
      <w:r w:rsidR="00920D7B" w:rsidRPr="00B24EC9">
        <w:rPr>
          <w:rFonts w:eastAsiaTheme="minorHAnsi"/>
          <w:sz w:val="28"/>
          <w:szCs w:val="28"/>
          <w:lang w:eastAsia="en-US"/>
        </w:rPr>
        <w:t xml:space="preserve">Черемховском районном муниципальном образовании осуществляет муниципальное казенное учреждение «Централизованная бухгалтерия Черемховского районного муниципального образования», учредителем которой является </w:t>
      </w:r>
      <w:r w:rsidR="00054811">
        <w:rPr>
          <w:rFonts w:eastAsiaTheme="minorHAnsi"/>
          <w:sz w:val="28"/>
          <w:szCs w:val="28"/>
          <w:lang w:eastAsia="en-US"/>
        </w:rPr>
        <w:t>Ф</w:t>
      </w:r>
      <w:r w:rsidR="00920D7B" w:rsidRPr="00B24EC9">
        <w:rPr>
          <w:rFonts w:eastAsiaTheme="minorHAnsi"/>
          <w:sz w:val="28"/>
          <w:szCs w:val="28"/>
          <w:lang w:eastAsia="en-US"/>
        </w:rPr>
        <w:t>инансовое управление.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 целях обеспечения достоверного учета хозяйственной деятельности централизованн</w:t>
      </w:r>
      <w:r w:rsidR="00D812D4">
        <w:rPr>
          <w:rFonts w:eastAsiaTheme="minorHAnsi"/>
          <w:sz w:val="28"/>
          <w:szCs w:val="28"/>
          <w:lang w:eastAsia="en-US"/>
        </w:rPr>
        <w:t>ая</w:t>
      </w:r>
      <w:r w:rsidRPr="00B24EC9">
        <w:rPr>
          <w:rFonts w:eastAsiaTheme="minorHAnsi"/>
          <w:sz w:val="28"/>
          <w:szCs w:val="28"/>
          <w:lang w:eastAsia="en-US"/>
        </w:rPr>
        <w:t xml:space="preserve"> бухгалтери</w:t>
      </w:r>
      <w:r w:rsidR="00D812D4">
        <w:rPr>
          <w:rFonts w:eastAsiaTheme="minorHAnsi"/>
          <w:sz w:val="28"/>
          <w:szCs w:val="28"/>
          <w:lang w:eastAsia="en-US"/>
        </w:rPr>
        <w:t>я</w:t>
      </w:r>
      <w:r w:rsidRPr="00B24EC9">
        <w:rPr>
          <w:rFonts w:eastAsiaTheme="minorHAnsi"/>
          <w:sz w:val="28"/>
          <w:szCs w:val="28"/>
          <w:lang w:eastAsia="en-US"/>
        </w:rPr>
        <w:t xml:space="preserve"> в соответствии с заключенными договорами с муниципальными учреждениями осуществля</w:t>
      </w:r>
      <w:r w:rsidR="00D812D4">
        <w:rPr>
          <w:rFonts w:eastAsiaTheme="minorHAnsi"/>
          <w:sz w:val="28"/>
          <w:szCs w:val="28"/>
          <w:lang w:eastAsia="en-US"/>
        </w:rPr>
        <w:t>е</w:t>
      </w:r>
      <w:r w:rsidRPr="00B24EC9">
        <w:rPr>
          <w:rFonts w:eastAsiaTheme="minorHAnsi"/>
          <w:sz w:val="28"/>
          <w:szCs w:val="28"/>
          <w:lang w:eastAsia="en-US"/>
        </w:rPr>
        <w:t>т: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 - организацию и ведение бухгалтерского и налогового учета и отчетности, обязательных и хозяйственных операций путем их отражения в бухгалтерских регистрах;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предварительный контроль над соответствием заключаемых договоров объемам ассигнований, предусмотренных сметой расходов;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начисление и обеспечение выплаты заработной платы работникам;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проведение расчетов, возникающих в процессе исполнения в пределах санкционированных расходов сметы расходов, с организациями и отдельными физическими лицами;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инвентаризацию зданий, сооружений, имущества, основных средств, расчетов</w:t>
      </w:r>
      <w:r w:rsidR="00054811">
        <w:rPr>
          <w:rFonts w:eastAsiaTheme="minorHAnsi"/>
          <w:sz w:val="28"/>
          <w:szCs w:val="28"/>
          <w:lang w:eastAsia="en-US"/>
        </w:rPr>
        <w:t>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- </w:t>
      </w:r>
      <w:r w:rsidRPr="00B24EC9">
        <w:rPr>
          <w:rFonts w:eastAsia="Times New Roman"/>
          <w:sz w:val="28"/>
          <w:szCs w:val="28"/>
        </w:rPr>
        <w:t xml:space="preserve">учет начисления и уплаты страховых и накопительных взносов в связи с </w:t>
      </w:r>
      <w:r w:rsidRPr="00B24EC9">
        <w:rPr>
          <w:rFonts w:eastAsia="Times New Roman"/>
          <w:sz w:val="28"/>
          <w:szCs w:val="28"/>
        </w:rPr>
        <w:lastRenderedPageBreak/>
        <w:t>внедрением индивидуального (персонифицированного) учета;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отчетности в налоговые органы, внебюджетные фонды, органы статистики и иные органы;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консультирование руководителей учреждений по вопросам налогообложения, бухгалтерского учета и отчетности;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хранение документов (первичных учетных документов, регистров бухгалтерского учета, </w:t>
      </w:r>
      <w:proofErr w:type="gramStart"/>
      <w:r w:rsidRPr="00B24EC9">
        <w:rPr>
          <w:rFonts w:eastAsia="Times New Roman"/>
          <w:sz w:val="28"/>
          <w:szCs w:val="28"/>
        </w:rPr>
        <w:t>отчетности</w:t>
      </w:r>
      <w:proofErr w:type="gramEnd"/>
      <w:r w:rsidR="00B24EC9">
        <w:rPr>
          <w:rFonts w:eastAsia="Times New Roman"/>
          <w:sz w:val="28"/>
          <w:szCs w:val="28"/>
        </w:rPr>
        <w:t xml:space="preserve"> </w:t>
      </w:r>
      <w:r w:rsidRPr="00B24EC9">
        <w:rPr>
          <w:rFonts w:eastAsia="Times New Roman"/>
          <w:sz w:val="28"/>
          <w:szCs w:val="28"/>
        </w:rPr>
        <w:t>как на бумажных, так и на электронных носителях информации);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иную деятельность, предусмотренную действующим законодательством, регулирующим финансово-хозяйственную деятельность учреждений. 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Ведение бухгалтерского учета осуществляется с помощью автоматизированной системы.</w:t>
      </w:r>
    </w:p>
    <w:p w:rsidR="00416C44" w:rsidRPr="00B24EC9" w:rsidRDefault="002671E9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</w:t>
      </w:r>
      <w:r w:rsidR="00416C44" w:rsidRPr="00B24EC9">
        <w:rPr>
          <w:sz w:val="28"/>
          <w:szCs w:val="28"/>
        </w:rPr>
        <w:t xml:space="preserve">В связи с чем, крайне необходимо  пройти </w:t>
      </w:r>
      <w:r w:rsidR="00773959" w:rsidRPr="00B24EC9">
        <w:rPr>
          <w:sz w:val="28"/>
          <w:szCs w:val="28"/>
        </w:rPr>
        <w:t>о</w:t>
      </w:r>
      <w:r w:rsidR="00416C44" w:rsidRPr="00B24EC9">
        <w:rPr>
          <w:sz w:val="28"/>
          <w:szCs w:val="28"/>
        </w:rPr>
        <w:t xml:space="preserve">бучение сотрудникам централизованной бухгалтерии, а также специалистам финансового управления. </w:t>
      </w:r>
    </w:p>
    <w:p w:rsidR="00416C44" w:rsidRPr="00B24EC9" w:rsidRDefault="00416C44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А</w:t>
      </w:r>
      <w:r w:rsidR="002671E9" w:rsidRPr="00B24EC9">
        <w:rPr>
          <w:sz w:val="28"/>
          <w:szCs w:val="28"/>
        </w:rPr>
        <w:t xml:space="preserve">втоматизация учетного процесса, без которой невозможно выполнить требования Минфина России по ведению бухгалтерского (бюджетного) учета, требует </w:t>
      </w:r>
      <w:r w:rsidR="00BC22A3" w:rsidRPr="00B24EC9">
        <w:rPr>
          <w:sz w:val="28"/>
          <w:szCs w:val="28"/>
        </w:rPr>
        <w:t>немалых затрат</w:t>
      </w:r>
      <w:r w:rsidR="002671E9" w:rsidRPr="00B24EC9">
        <w:rPr>
          <w:sz w:val="28"/>
          <w:szCs w:val="28"/>
        </w:rPr>
        <w:t xml:space="preserve"> на компьютерное оборудование, соответствующее программное обеспечение, на оплату консультационных услуг разработчика программного обеспечения, абонентскую плату за пользование справочно-правовой системой.</w:t>
      </w:r>
      <w:r w:rsidR="007B6C6B" w:rsidRPr="00B24EC9">
        <w:rPr>
          <w:sz w:val="28"/>
          <w:szCs w:val="28"/>
        </w:rPr>
        <w:t xml:space="preserve"> </w:t>
      </w:r>
      <w:r w:rsidR="00773959" w:rsidRPr="00B24EC9">
        <w:rPr>
          <w:sz w:val="28"/>
          <w:szCs w:val="28"/>
        </w:rPr>
        <w:t>Так</w:t>
      </w:r>
      <w:r w:rsidR="00547EA4">
        <w:rPr>
          <w:sz w:val="28"/>
          <w:szCs w:val="28"/>
        </w:rPr>
        <w:t>,</w:t>
      </w:r>
      <w:r w:rsidR="00773959" w:rsidRPr="00B24EC9">
        <w:rPr>
          <w:sz w:val="28"/>
          <w:szCs w:val="28"/>
        </w:rPr>
        <w:t xml:space="preserve"> для осуществления взаимодействия с   государственной информационной системой о государственных и муниципальных платежах (ГИС ГМП) необходимо приобретение программного модуля «Электронный обмен с ГИС ГМП»</w:t>
      </w:r>
      <w:r w:rsidR="00D812D4">
        <w:rPr>
          <w:sz w:val="28"/>
          <w:szCs w:val="28"/>
        </w:rPr>
        <w:t>.</w:t>
      </w:r>
    </w:p>
    <w:p w:rsidR="007B6C6B" w:rsidRPr="00B24EC9" w:rsidRDefault="007B6C6B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 На низком уровне остается размещение информации на официальном сайте о бюджетной и бухгалтерской отчетности, об исполнении бюджета Черемховского районного муниципального образования. 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</w:t>
      </w:r>
      <w:r w:rsidR="00416C44" w:rsidRPr="00B24EC9">
        <w:rPr>
          <w:sz w:val="28"/>
          <w:szCs w:val="28"/>
        </w:rPr>
        <w:t xml:space="preserve"> об</w:t>
      </w:r>
      <w:r w:rsidRPr="00B24EC9">
        <w:rPr>
          <w:sz w:val="28"/>
          <w:szCs w:val="28"/>
        </w:rPr>
        <w:t xml:space="preserve"> осуществления бюджетного процесса в Черемховском районном муниципальном образовании на всех его стадиях.</w:t>
      </w:r>
    </w:p>
    <w:p w:rsidR="002671E9" w:rsidRPr="00B24EC9" w:rsidRDefault="001075FA" w:rsidP="00773959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С целью осуществления финансового </w:t>
      </w:r>
      <w:proofErr w:type="gramStart"/>
      <w:r w:rsidRPr="00B24EC9">
        <w:rPr>
          <w:sz w:val="28"/>
          <w:szCs w:val="28"/>
        </w:rPr>
        <w:t>контроля за</w:t>
      </w:r>
      <w:proofErr w:type="gramEnd"/>
      <w:r w:rsidRPr="00B24EC9">
        <w:rPr>
          <w:sz w:val="28"/>
          <w:szCs w:val="28"/>
        </w:rPr>
        <w:t xml:space="preserve"> соблюдением в Черемховском районном муниципальном образовании бюджетного законодательства Российской Федерации и иных нормативных правовых актов, регулирующих бюджетные правоотношения</w:t>
      </w:r>
      <w:r w:rsidR="00547EA4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</w:t>
      </w:r>
      <w:r w:rsidR="004B6EEF" w:rsidRPr="00B24EC9">
        <w:rPr>
          <w:sz w:val="28"/>
          <w:szCs w:val="28"/>
        </w:rPr>
        <w:t xml:space="preserve"> мая 2014 года в финансовом управлении создан отдел </w:t>
      </w:r>
      <w:r w:rsidRPr="00B24EC9">
        <w:rPr>
          <w:sz w:val="28"/>
          <w:szCs w:val="28"/>
        </w:rPr>
        <w:t xml:space="preserve">финансового контроля.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  <w:r w:rsidR="00FC23A9" w:rsidRPr="00B24EC9">
        <w:rPr>
          <w:sz w:val="28"/>
          <w:szCs w:val="28"/>
        </w:rPr>
        <w:t>Так</w:t>
      </w:r>
      <w:r w:rsidR="00547EA4">
        <w:rPr>
          <w:sz w:val="28"/>
          <w:szCs w:val="28"/>
        </w:rPr>
        <w:t>,</w:t>
      </w:r>
      <w:r w:rsidR="00FC23A9" w:rsidRPr="00B24EC9">
        <w:rPr>
          <w:sz w:val="28"/>
          <w:szCs w:val="28"/>
        </w:rPr>
        <w:t xml:space="preserve"> в 2015 году финансовым управлением было запланировано и проведено 11 проверок </w:t>
      </w:r>
      <w:r w:rsidR="00FC23A9" w:rsidRPr="00B24EC9">
        <w:rPr>
          <w:sz w:val="28"/>
          <w:szCs w:val="28"/>
        </w:rPr>
        <w:lastRenderedPageBreak/>
        <w:t xml:space="preserve">финансово-хозяйственной деятельности, в том числе в сфере закупок. Объем проверенных средств составил  101 386,7 тыс. рублей. Объем выявленных финансовых нарушений за 2015 год составил 425,89 тыс. рублей. </w:t>
      </w:r>
    </w:p>
    <w:p w:rsidR="00F768F0" w:rsidRPr="00B24EC9" w:rsidRDefault="00F768F0" w:rsidP="009C72C4">
      <w:pPr>
        <w:pStyle w:val="ConsPlusNormal"/>
        <w:ind w:left="360" w:firstLine="348"/>
        <w:jc w:val="both"/>
        <w:rPr>
          <w:sz w:val="28"/>
          <w:szCs w:val="28"/>
        </w:rPr>
      </w:pP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931D30">
      <w:pPr>
        <w:pStyle w:val="ConsPlusNormal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9D6DC5" w:rsidRPr="00EA4064" w:rsidRDefault="009D6DC5" w:rsidP="009D6DC5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Реализация данной Программы направлена на повышение качества управления муниципальными финансами и обеспечение эффективного управления муниципальными финансами, составление и организацию исполнения районного бюджета, соблюдение финансовой дисциплины.</w:t>
      </w:r>
    </w:p>
    <w:p w:rsidR="008461BF" w:rsidRPr="00EA4064" w:rsidRDefault="008461BF" w:rsidP="009D6DC5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8461BF" w:rsidRPr="00EA4064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1. Обеспечение  сбалансированности  и  устойчивости бюджета;</w:t>
      </w:r>
    </w:p>
    <w:p w:rsidR="008461BF" w:rsidRPr="00EA4064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2. Повышение  эффективности  расходования  средств  бюджета;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3. Управление  муниципальным  долгом и  его  обслуживание;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4. Обеспечение </w:t>
      </w:r>
      <w:r w:rsidRPr="00F45D6B">
        <w:rPr>
          <w:sz w:val="28"/>
          <w:szCs w:val="28"/>
        </w:rPr>
        <w:t>качественного</w:t>
      </w:r>
      <w:r w:rsidRPr="00EA4064">
        <w:rPr>
          <w:sz w:val="28"/>
          <w:szCs w:val="28"/>
        </w:rPr>
        <w:t xml:space="preserve"> ведения бухгалтерского учета, сдачи отчетности </w:t>
      </w:r>
      <w:r w:rsidR="004165B9" w:rsidRPr="00EA4064">
        <w:rPr>
          <w:sz w:val="28"/>
          <w:szCs w:val="28"/>
        </w:rPr>
        <w:t>м</w:t>
      </w:r>
      <w:r w:rsidRPr="00EA4064">
        <w:rPr>
          <w:sz w:val="28"/>
          <w:szCs w:val="28"/>
        </w:rPr>
        <w:t>униципальных учреждений;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5. Развитие автоматизированных систем управления муниципальными финансами;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6. Осуществление внутреннего финансового контроля в бюджетной сфере;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7.  Предоставление из </w:t>
      </w:r>
      <w:r w:rsidR="00054811" w:rsidRPr="00EA4064">
        <w:rPr>
          <w:sz w:val="28"/>
          <w:szCs w:val="28"/>
        </w:rPr>
        <w:t>районного фонда финансовой поддержки поселений</w:t>
      </w:r>
      <w:r w:rsidRPr="00EA4064">
        <w:rPr>
          <w:sz w:val="28"/>
          <w:szCs w:val="28"/>
        </w:rPr>
        <w:t xml:space="preserve"> дотаций на выравнивание уровня бюджетной обеспеченности  бюджетов поселений</w:t>
      </w:r>
      <w:r w:rsidR="004165B9" w:rsidRPr="00EA4064">
        <w:rPr>
          <w:sz w:val="28"/>
          <w:szCs w:val="28"/>
        </w:rPr>
        <w:t>.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052482" w:rsidRDefault="00052482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  <w:sectPr w:rsidR="00052482" w:rsidSect="00052482">
          <w:headerReference w:type="default" r:id="rId10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C04BB" w:rsidRDefault="004165B9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</w:pPr>
      <w:r w:rsidRPr="00CF688F">
        <w:rPr>
          <w:sz w:val="24"/>
          <w:szCs w:val="24"/>
        </w:rPr>
        <w:lastRenderedPageBreak/>
        <w:t>ОБЪЕМ И ИСТОЧНИКИ ФИНАНСИРОВАНИЯ ДАННОЙ ПРОГРАММЫ</w:t>
      </w:r>
    </w:p>
    <w:p w:rsidR="00CF688F" w:rsidRPr="00CF688F" w:rsidRDefault="00CF688F" w:rsidP="00CF688F">
      <w:pPr>
        <w:pStyle w:val="a4"/>
        <w:spacing w:line="100" w:lineRule="atLeast"/>
        <w:rPr>
          <w:sz w:val="24"/>
          <w:szCs w:val="24"/>
        </w:rPr>
      </w:pPr>
    </w:p>
    <w:tbl>
      <w:tblPr>
        <w:tblW w:w="14957" w:type="dxa"/>
        <w:tblInd w:w="-106" w:type="dxa"/>
        <w:tblLook w:val="00A0" w:firstRow="1" w:lastRow="0" w:firstColumn="1" w:lastColumn="0" w:noHBand="0" w:noVBand="0"/>
      </w:tblPr>
      <w:tblGrid>
        <w:gridCol w:w="727"/>
        <w:gridCol w:w="3025"/>
        <w:gridCol w:w="2014"/>
        <w:gridCol w:w="2970"/>
        <w:gridCol w:w="1753"/>
        <w:gridCol w:w="1358"/>
        <w:gridCol w:w="1275"/>
        <w:gridCol w:w="1835"/>
      </w:tblGrid>
      <w:tr w:rsidR="004165B9" w:rsidRPr="00332C3A" w:rsidTr="00AD5E3F">
        <w:trPr>
          <w:trHeight w:val="315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 xml:space="preserve">№ </w:t>
            </w:r>
            <w:proofErr w:type="gramStart"/>
            <w:r w:rsidRPr="00332C3A">
              <w:t>п</w:t>
            </w:r>
            <w:proofErr w:type="gramEnd"/>
            <w:r w:rsidRPr="00332C3A">
              <w:t>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Цель, задача, мероприятие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4165B9" w:rsidRPr="00332C3A" w:rsidTr="00AD5E3F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За весь период реализации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В том числе по годам</w:t>
            </w:r>
          </w:p>
        </w:tc>
      </w:tr>
      <w:tr w:rsidR="004165B9" w:rsidRPr="00332C3A" w:rsidTr="00AD5E3F">
        <w:trPr>
          <w:trHeight w:val="311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4165B9">
            <w:pPr>
              <w:jc w:val="center"/>
            </w:pPr>
            <w:r w:rsidRPr="00332C3A">
              <w:t>2017</w:t>
            </w:r>
            <w:r w:rsidR="004165B9" w:rsidRPr="00332C3A">
              <w:t xml:space="preserve"> 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4165B9">
            <w:pPr>
              <w:jc w:val="center"/>
            </w:pPr>
            <w:r w:rsidRPr="00332C3A">
              <w:t>2018</w:t>
            </w:r>
            <w:r w:rsidR="004165B9" w:rsidRPr="00332C3A">
              <w:t xml:space="preserve"> год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052482">
            <w:pPr>
              <w:jc w:val="center"/>
            </w:pPr>
            <w:r w:rsidRPr="00332C3A">
              <w:t>2019 год</w:t>
            </w:r>
          </w:p>
        </w:tc>
      </w:tr>
      <w:tr w:rsidR="004165B9" w:rsidRPr="00332C3A" w:rsidTr="00AD5E3F">
        <w:trPr>
          <w:trHeight w:val="7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 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5B9" w:rsidRPr="00332C3A" w:rsidRDefault="004165B9" w:rsidP="004165B9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</w:t>
            </w:r>
            <w:r w:rsidR="00052482" w:rsidRPr="00332C3A">
              <w:rPr>
                <w:b/>
              </w:rPr>
              <w:t xml:space="preserve"> «Управление муниципальными финансами Черемховского районного муниципального образования на 2017-2019 годы»</w:t>
            </w:r>
          </w:p>
        </w:tc>
      </w:tr>
      <w:tr w:rsidR="007133DC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3DC" w:rsidRPr="00332C3A" w:rsidRDefault="007133DC" w:rsidP="004165B9">
            <w:pPr>
              <w:jc w:val="center"/>
            </w:pPr>
            <w:r w:rsidRPr="00332C3A">
              <w:t> 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3DC" w:rsidRPr="00332C3A" w:rsidRDefault="007133DC" w:rsidP="004165B9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3DC" w:rsidRPr="00332C3A" w:rsidRDefault="007133DC" w:rsidP="00CF688F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ЧРМО», структурные подразделения АЧРМО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332C3A" w:rsidRDefault="007133DC" w:rsidP="004165B9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332C3A" w:rsidRDefault="007133DC" w:rsidP="008C7576">
            <w:pPr>
              <w:jc w:val="center"/>
            </w:pPr>
            <w:r>
              <w:t>128 406,5</w:t>
            </w:r>
            <w:r w:rsidRPr="00332C3A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D32ADD" w:rsidRDefault="007133DC" w:rsidP="007133DC">
            <w:pPr>
              <w:jc w:val="center"/>
            </w:pPr>
            <w:r w:rsidRPr="00D32ADD">
              <w:t>49 985,8 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D32ADD" w:rsidRDefault="007133DC" w:rsidP="007133DC">
            <w:pPr>
              <w:jc w:val="center"/>
            </w:pPr>
            <w:r w:rsidRPr="00D32ADD">
              <w:t>39 110,3 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D32ADD" w:rsidRDefault="007133DC" w:rsidP="007133DC">
            <w:pPr>
              <w:jc w:val="center"/>
            </w:pPr>
            <w:r w:rsidRPr="00D32ADD">
              <w:t>39 310,4 </w:t>
            </w:r>
          </w:p>
        </w:tc>
      </w:tr>
      <w:tr w:rsidR="007133DC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DC" w:rsidRPr="00332C3A" w:rsidRDefault="007133DC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DC" w:rsidRPr="00332C3A" w:rsidRDefault="007133DC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DC" w:rsidRPr="00332C3A" w:rsidRDefault="007133DC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332C3A" w:rsidRDefault="007133DC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332C3A" w:rsidRDefault="007133DC" w:rsidP="00D812D4">
            <w:pPr>
              <w:jc w:val="center"/>
            </w:pPr>
            <w:r>
              <w:t>35 928,0</w:t>
            </w:r>
            <w:r w:rsidRPr="00332C3A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D32ADD" w:rsidRDefault="007133DC" w:rsidP="007133DC">
            <w:pPr>
              <w:jc w:val="center"/>
            </w:pPr>
            <w:r w:rsidRPr="00D32ADD">
              <w:t>12 077,2 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D32ADD" w:rsidRDefault="007133DC" w:rsidP="007133DC">
            <w:pPr>
              <w:jc w:val="center"/>
            </w:pPr>
            <w:r w:rsidRPr="00D32ADD">
              <w:t>11</w:t>
            </w:r>
            <w:r>
              <w:t> 709,9</w:t>
            </w:r>
            <w:r w:rsidRPr="00D32ADD"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D32ADD" w:rsidRDefault="007133DC" w:rsidP="007133DC">
            <w:pPr>
              <w:jc w:val="center"/>
            </w:pPr>
            <w:r w:rsidRPr="00D32ADD">
              <w:t>12 140,9 </w:t>
            </w:r>
          </w:p>
        </w:tc>
      </w:tr>
      <w:tr w:rsidR="007133DC" w:rsidRPr="00332C3A" w:rsidTr="00AD5E3F">
        <w:trPr>
          <w:trHeight w:val="19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DC" w:rsidRPr="00332C3A" w:rsidRDefault="007133DC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DC" w:rsidRPr="00332C3A" w:rsidRDefault="007133DC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DC" w:rsidRPr="00332C3A" w:rsidRDefault="007133DC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332C3A" w:rsidRDefault="007133DC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332C3A" w:rsidRDefault="007133DC" w:rsidP="001D6C25">
            <w:pPr>
              <w:jc w:val="center"/>
            </w:pPr>
            <w:r>
              <w:t>92 478,5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332C3A" w:rsidRDefault="007133DC" w:rsidP="007133DC">
            <w:pPr>
              <w:jc w:val="center"/>
            </w:pPr>
            <w:r>
              <w:t>37 908,6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332C3A" w:rsidRDefault="007133DC" w:rsidP="007133DC">
            <w:pPr>
              <w:jc w:val="center"/>
            </w:pPr>
            <w:r>
              <w:t>27 400,4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DC" w:rsidRPr="00332C3A" w:rsidRDefault="007133DC" w:rsidP="007133DC">
            <w:pPr>
              <w:jc w:val="center"/>
            </w:pPr>
            <w:r>
              <w:t>27 169,5</w:t>
            </w:r>
          </w:p>
        </w:tc>
      </w:tr>
      <w:tr w:rsidR="00B073E0" w:rsidRPr="00332C3A" w:rsidTr="00AD5E3F">
        <w:trPr>
          <w:trHeight w:val="2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20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77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73E0" w:rsidRPr="00332C3A" w:rsidRDefault="00B073E0" w:rsidP="00486D18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1. Обеспечение сбалансированности и устойчивости бюджета</w:t>
            </w:r>
          </w:p>
        </w:tc>
      </w:tr>
      <w:tr w:rsidR="00D30A12" w:rsidRPr="00332C3A" w:rsidTr="00AD5E3F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r w:rsidRPr="00332C3A">
              <w:t>Всего по   Задаче 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Pr="00332C3A" w:rsidRDefault="00D30A12" w:rsidP="00486D18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26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9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98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pPr>
              <w:jc w:val="center"/>
            </w:pPr>
            <w:r w:rsidRPr="00332C3A">
              <w:t>1.1.</w:t>
            </w: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AD5E3F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Проведение комплекса работ по повышению доходов консолидированного бюджета Черемховского районного муниципального образования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AD77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ЧРМО;</w:t>
            </w:r>
          </w:p>
          <w:p w:rsidR="00D30A12" w:rsidRPr="00332C3A" w:rsidRDefault="00D30A12" w:rsidP="00AD779D">
            <w:pPr>
              <w:jc w:val="center"/>
            </w:pPr>
            <w:r w:rsidRPr="00332C3A">
              <w:t>главные администраторы доходов бюджета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Pr="00332C3A" w:rsidRDefault="00D30A12" w:rsidP="00486D18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214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19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pPr>
              <w:jc w:val="center"/>
            </w:pPr>
            <w:r w:rsidRPr="00332C3A">
              <w:t>1.2.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2" w:rsidRDefault="00D30A12" w:rsidP="00D30A12">
            <w:pPr>
              <w:pStyle w:val="ConsPlusNormal"/>
              <w:widowControl/>
              <w:tabs>
                <w:tab w:val="left" w:pos="199"/>
              </w:tabs>
              <w:jc w:val="both"/>
              <w:rPr>
                <w:sz w:val="20"/>
                <w:szCs w:val="20"/>
              </w:rPr>
            </w:pPr>
            <w:proofErr w:type="gramStart"/>
            <w:r w:rsidRPr="00332C3A">
              <w:rPr>
                <w:sz w:val="20"/>
                <w:szCs w:val="20"/>
              </w:rPr>
              <w:t xml:space="preserve"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и федеральных целевых программ, привлечение </w:t>
            </w:r>
            <w:proofErr w:type="gramEnd"/>
          </w:p>
          <w:p w:rsidR="00D30A12" w:rsidRPr="00332C3A" w:rsidRDefault="00D30A12" w:rsidP="00D30A12">
            <w:pPr>
              <w:pStyle w:val="ConsPlusNormal"/>
              <w:widowControl/>
              <w:tabs>
                <w:tab w:val="left" w:pos="199"/>
              </w:tabs>
              <w:jc w:val="both"/>
            </w:pPr>
            <w:r w:rsidRPr="00332C3A">
              <w:rPr>
                <w:sz w:val="20"/>
                <w:szCs w:val="20"/>
              </w:rPr>
              <w:t>внебюджетных источников)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pPr>
              <w:jc w:val="center"/>
            </w:pPr>
            <w:r w:rsidRPr="00332C3A">
              <w:t>Отдел экономического прогнозирования и планирования АЧРМО,</w:t>
            </w:r>
          </w:p>
          <w:p w:rsidR="00D30A12" w:rsidRPr="00332C3A" w:rsidRDefault="00D30A12" w:rsidP="003A3B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ЧРМО;</w:t>
            </w:r>
          </w:p>
          <w:p w:rsidR="00D30A12" w:rsidRPr="00332C3A" w:rsidRDefault="00D30A12" w:rsidP="006B50A5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A12" w:rsidRDefault="00D30A12" w:rsidP="006B50A5">
            <w:pPr>
              <w:jc w:val="center"/>
            </w:pPr>
          </w:p>
          <w:p w:rsidR="00D30A12" w:rsidRDefault="00D30A12" w:rsidP="006B50A5">
            <w:pPr>
              <w:jc w:val="center"/>
            </w:pPr>
          </w:p>
          <w:p w:rsidR="00D30A12" w:rsidRPr="00332C3A" w:rsidRDefault="00D30A12" w:rsidP="006B50A5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22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9573E5" w:rsidRPr="00332C3A" w:rsidTr="00AD5E3F">
        <w:trPr>
          <w:trHeight w:val="297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  <w:r w:rsidRPr="00332C3A">
              <w:lastRenderedPageBreak/>
              <w:t>1.3.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Снижение размера дефицита бюджета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CD7CB3">
            <w:pPr>
              <w:pStyle w:val="ConsPlusCell"/>
              <w:jc w:val="center"/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Pr="00332C3A" w:rsidRDefault="009573E5" w:rsidP="006B50A5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  <w:r w:rsidRPr="00332C3A">
              <w:t>1.4.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332C3A">
              <w:rPr>
                <w:sz w:val="20"/>
                <w:szCs w:val="20"/>
              </w:rPr>
              <w:t>системы мониторинга просроченной кредиторской задолженности бюджета района</w:t>
            </w:r>
            <w:proofErr w:type="gramEnd"/>
            <w:r w:rsidRPr="00332C3A">
              <w:rPr>
                <w:sz w:val="20"/>
                <w:szCs w:val="20"/>
              </w:rPr>
              <w:t>. Недопущение роста просроченной задолженности  по социально-значимым расходам и коммунальным услугам.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9573E5" w:rsidRPr="00332C3A" w:rsidRDefault="009573E5" w:rsidP="006B50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Pr="00332C3A" w:rsidRDefault="009573E5" w:rsidP="006B50A5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B073E0" w:rsidRPr="00332C3A" w:rsidTr="00AD5E3F">
        <w:trPr>
          <w:trHeight w:val="2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2. Повышение эффективности бюджетных расходов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61911">
            <w:r w:rsidRPr="00332C3A">
              <w:t>Всего по  Задаче 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21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1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3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9573E5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pPr>
              <w:jc w:val="center"/>
            </w:pPr>
            <w:r w:rsidRPr="00332C3A">
              <w:t>2.1.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Default="009573E5" w:rsidP="00461911">
            <w:pPr>
              <w:jc w:val="both"/>
            </w:pPr>
            <w:r w:rsidRPr="00332C3A">
              <w:t>Обеспечение прозрачности и открытости деятельности финансового управления и централизованной бухгалтерии, повышение доступности информации о бюджете и бюджетном процессе</w:t>
            </w:r>
          </w:p>
          <w:p w:rsidR="00AD5E3F" w:rsidRPr="00332C3A" w:rsidRDefault="00AD5E3F" w:rsidP="00461911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4619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9573E5" w:rsidRPr="00332C3A" w:rsidRDefault="009573E5" w:rsidP="00461911">
            <w:pPr>
              <w:jc w:val="center"/>
            </w:pPr>
            <w:r w:rsidRPr="00332C3A"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29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B073E0" w:rsidRPr="00332C3A" w:rsidTr="00AD5E3F">
        <w:trPr>
          <w:trHeight w:val="274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2.2.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Default="00B073E0" w:rsidP="00A7395E">
            <w:pPr>
              <w:jc w:val="both"/>
            </w:pPr>
            <w:r w:rsidRPr="00332C3A">
              <w:t xml:space="preserve">Повышение качества управления бюджетными расходами посредством повышения квалификации сотрудников финансового управления и централизованной </w:t>
            </w:r>
            <w:r>
              <w:t>бухгалтерии</w:t>
            </w:r>
          </w:p>
          <w:p w:rsidR="00B073E0" w:rsidRDefault="00B073E0" w:rsidP="00A7395E">
            <w:pPr>
              <w:jc w:val="both"/>
            </w:pPr>
          </w:p>
          <w:p w:rsidR="00AB410E" w:rsidRPr="00332C3A" w:rsidRDefault="00AB410E" w:rsidP="00A7395E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Default="00B073E0" w:rsidP="00A7395E">
            <w:pPr>
              <w:jc w:val="center"/>
            </w:pPr>
            <w:r w:rsidRPr="00332C3A">
              <w:t>Финансовое управление администрации ЧРМО;</w:t>
            </w:r>
          </w:p>
          <w:p w:rsidR="00B073E0" w:rsidRPr="00332C3A" w:rsidRDefault="00B073E0" w:rsidP="00A7395E">
            <w:pPr>
              <w:jc w:val="center"/>
            </w:pPr>
            <w:r w:rsidRPr="00332C3A">
              <w:t>МКУ «ЦБ ЧРМО»</w:t>
            </w:r>
          </w:p>
          <w:p w:rsidR="00B073E0" w:rsidRPr="00332C3A" w:rsidRDefault="00B073E0" w:rsidP="00C23493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24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>
            <w:r>
              <w:lastRenderedPageBreak/>
              <w:t>2.3.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обучающих семинаров для специалистов поселений Черемховского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D812D4">
            <w:pPr>
              <w:pStyle w:val="ConsPlusCell"/>
              <w:jc w:val="center"/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CC5499" w:rsidRDefault="00B073E0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>Задача 3. Управление муниципальным долгом и его обслуживание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r>
              <w:t>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Всего по Задаче 3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r>
              <w:t>3.1.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D812D4">
            <w:r>
              <w:t>Своевременная  оплата долговых обязательств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C54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  <w:p w:rsidR="00B073E0" w:rsidRPr="00332C3A" w:rsidRDefault="00B073E0" w:rsidP="00C2349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294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CC5499" w:rsidRDefault="00B073E0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 xml:space="preserve">Задача 4. Обеспечение </w:t>
            </w:r>
            <w:r w:rsidR="003D37A3">
              <w:rPr>
                <w:b/>
              </w:rPr>
              <w:t xml:space="preserve">качественного </w:t>
            </w:r>
            <w:r w:rsidRPr="00CC5499">
              <w:rPr>
                <w:b/>
              </w:rPr>
              <w:t>ведения бухгалтерского учета, сдачи отчетности муниципальных учреждений района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both"/>
            </w:pPr>
            <w:r>
              <w:t>Всего по Задаче 4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392,0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130,5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137,8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392,0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137,8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4.1.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both"/>
            </w:pPr>
            <w:r>
              <w:t>Обслуживание программного обеспечения, посредством которого осуществляется ведение бухгалтерского учета и сдача бухгалтерской отчетности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B073E0" w:rsidRPr="00332C3A" w:rsidRDefault="00B073E0" w:rsidP="00C23493">
            <w:pPr>
              <w:jc w:val="center"/>
            </w:pPr>
            <w:r w:rsidRPr="00332C3A"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334,2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117,6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334,2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117,6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66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3420F8">
            <w:r>
              <w:t>4.2.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3420F8">
            <w:r>
              <w:t>Обеспечение доступа через интернет к информационным справочным системам</w:t>
            </w:r>
          </w:p>
          <w:p w:rsidR="00AD5E3F" w:rsidRDefault="00AD5E3F" w:rsidP="003420F8"/>
          <w:p w:rsidR="00AD5E3F" w:rsidRDefault="00AD5E3F" w:rsidP="003420F8"/>
          <w:p w:rsidR="00AD5E3F" w:rsidRDefault="00AD5E3F" w:rsidP="003420F8"/>
          <w:p w:rsidR="00AD5E3F" w:rsidRDefault="00AD5E3F" w:rsidP="003420F8"/>
          <w:p w:rsidR="00AD5E3F" w:rsidRPr="00332C3A" w:rsidRDefault="00AD5E3F" w:rsidP="003420F8"/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93833">
            <w:pPr>
              <w:jc w:val="center"/>
            </w:pPr>
            <w:r w:rsidRPr="00332C3A">
              <w:t>Финансовое управление администрации ЧРМО;</w:t>
            </w:r>
          </w:p>
          <w:p w:rsidR="00B073E0" w:rsidRDefault="00B073E0" w:rsidP="00C93833">
            <w:pPr>
              <w:jc w:val="center"/>
            </w:pPr>
            <w:r w:rsidRPr="00332C3A">
              <w:t>МКУ «ЦБ ЧРМО»</w:t>
            </w:r>
          </w:p>
          <w:p w:rsidR="00B073E0" w:rsidRDefault="00B073E0" w:rsidP="00C93833">
            <w:pPr>
              <w:jc w:val="center"/>
            </w:pPr>
          </w:p>
          <w:p w:rsidR="00B073E0" w:rsidRPr="00332C3A" w:rsidRDefault="00B073E0" w:rsidP="00C9383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57,7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19,2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57,7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19,2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8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420F8" w:rsidRDefault="00B073E0" w:rsidP="00C23493">
            <w:pPr>
              <w:jc w:val="center"/>
              <w:rPr>
                <w:b/>
              </w:rPr>
            </w:pPr>
            <w:r w:rsidRPr="003420F8">
              <w:rPr>
                <w:b/>
              </w:rPr>
              <w:lastRenderedPageBreak/>
              <w:t>Задача 5. Развитие автоматизированных систем управления муниципальными финансами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3420F8">
            <w:r>
              <w:t>Всего по Задаче 5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 w:rsidRPr="00332C3A">
              <w:t> </w:t>
            </w:r>
          </w:p>
          <w:p w:rsidR="00B073E0" w:rsidRPr="00332C3A" w:rsidRDefault="00B073E0" w:rsidP="003420F8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6357,9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2027,3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2230,2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6357,9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2027,3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2230,2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5.1.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>
              <w:t>Обслуживание технического сопровождения АС «Смета»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 w:rsidRPr="00332C3A">
              <w:t> 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2168,7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720,7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792,8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2168,7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720,7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792,8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5.2.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>
              <w:t>Обслуживание технического сопровождения АС «Бюджет»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pPr>
              <w:jc w:val="center"/>
            </w:pPr>
            <w:r w:rsidRPr="00332C3A"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3931,7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1437,4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3931,7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1437,4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5.3.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Приобретение дополнительных программных модулей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5F7C75">
            <w:pPr>
              <w:jc w:val="center"/>
            </w:pPr>
            <w:r w:rsidRPr="00332C3A"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257,5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D43757" w:rsidRDefault="00B073E0" w:rsidP="00C23493">
            <w:pPr>
              <w:jc w:val="center"/>
              <w:rPr>
                <w:b/>
              </w:rPr>
            </w:pPr>
            <w:r w:rsidRPr="00D43757">
              <w:rPr>
                <w:b/>
              </w:rPr>
              <w:t>Задача 6. Осуществление внутреннего финансового контроля в бюджетной сфере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D43757">
            <w:r>
              <w:t>Всего по задаче 6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D43757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9573E5" w:rsidRPr="00332C3A" w:rsidRDefault="009573E5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AB410E" w:rsidRPr="00332C3A" w:rsidTr="00AD5E3F">
        <w:trPr>
          <w:trHeight w:val="25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>
            <w:r>
              <w:t>6.1.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AB410E">
            <w:pPr>
              <w:jc w:val="both"/>
            </w:pPr>
            <w:r w:rsidRPr="00E53306"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  <w:p w:rsidR="00AB410E" w:rsidRPr="00E53306" w:rsidRDefault="00AB410E" w:rsidP="00AB410E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F7CDB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Pr="00332C3A" w:rsidRDefault="00AB410E" w:rsidP="00944273">
            <w:pPr>
              <w:jc w:val="center"/>
            </w:pPr>
            <w:r>
              <w:t>Без финансирования</w:t>
            </w: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11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5F7C75">
            <w:r>
              <w:lastRenderedPageBreak/>
              <w:t>6.2.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5F7C75">
            <w:r>
              <w:t xml:space="preserve">Проведение анализа осуществления главными администраторами бюджетных средств внутреннего финансового контроля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F7CDB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410E" w:rsidRDefault="00AB410E" w:rsidP="00C23493">
            <w:pPr>
              <w:jc w:val="center"/>
            </w:pPr>
          </w:p>
          <w:p w:rsidR="00AB410E" w:rsidRDefault="00AB410E" w:rsidP="00C23493">
            <w:pPr>
              <w:jc w:val="center"/>
            </w:pPr>
          </w:p>
          <w:p w:rsidR="00AB410E" w:rsidRPr="00332C3A" w:rsidRDefault="00AB410E" w:rsidP="00C23493">
            <w:pPr>
              <w:jc w:val="center"/>
            </w:pPr>
            <w:r>
              <w:t>Без финансирования</w:t>
            </w: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42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AA5506" w:rsidRDefault="00B073E0" w:rsidP="00AA5506">
            <w:pPr>
              <w:pStyle w:val="a4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A5506">
              <w:rPr>
                <w:b/>
              </w:rPr>
              <w:t>Предоставление из районного фонда финансовой поддержки поселений дотации на выравнивание уровня бюджетной обеспеченности бюджетов поселений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3E464D">
            <w:r>
              <w:t>Всего по Задаче 7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121 279,0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47 550,0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36837,0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36 892,0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28 800,5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9 641,4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9 436,6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9 722,5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92 478,5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37 908,6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27 400,4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27 169,5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>
            <w:r>
              <w:t>7.1.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>
            <w:r>
              <w:t>Выравнивание бюджетной обеспеченности  бюджетов поселений Черемховского района (ФФПП)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121 279,0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47 550,0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36 837,0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36 892,0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28 800,5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9 641,4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9 436,6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9 722,5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92 478,5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37 908,6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27 400,4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>
              <w:t>27 169,5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A47E19">
            <w:pPr>
              <w:jc w:val="center"/>
            </w:pPr>
            <w:r w:rsidRPr="00332C3A">
              <w:t>0,0</w:t>
            </w:r>
          </w:p>
        </w:tc>
      </w:tr>
    </w:tbl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pStyle w:val="50"/>
        <w:shd w:val="clear" w:color="auto" w:fill="auto"/>
        <w:spacing w:before="0" w:line="240" w:lineRule="auto"/>
        <w:rPr>
          <w:sz w:val="28"/>
          <w:szCs w:val="28"/>
        </w:rPr>
        <w:sectPr w:rsidR="008D17C0" w:rsidSect="00AB41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6121F" w:rsidRPr="001A4CB5" w:rsidRDefault="0006121F" w:rsidP="00931D30">
      <w:pPr>
        <w:pStyle w:val="50"/>
        <w:numPr>
          <w:ilvl w:val="0"/>
          <w:numId w:val="15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lastRenderedPageBreak/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EA4064" w:rsidRDefault="0006121F" w:rsidP="0006121F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Черемховского районного муниципального образования на текущий год  объемов финансирования.</w:t>
      </w:r>
    </w:p>
    <w:p w:rsidR="0006121F" w:rsidRPr="00EA4064" w:rsidRDefault="0006121F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306964" w:rsidRPr="00E333FE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обеспечение ежегодного темпа роста поступлений налоговых и неналоговых доходов бюджета Черемховского районного муниципального образования</w:t>
      </w:r>
      <w:r w:rsidR="00E333FE">
        <w:rPr>
          <w:sz w:val="28"/>
          <w:szCs w:val="28"/>
        </w:rPr>
        <w:t xml:space="preserve">: </w:t>
      </w:r>
      <w:r w:rsidR="00E333FE" w:rsidRPr="00E333FE">
        <w:rPr>
          <w:sz w:val="28"/>
          <w:szCs w:val="28"/>
        </w:rPr>
        <w:t>2017 год - на 0,1 %, 2018 год – на 4,4 %, 2019 год – на 7,8 %;</w:t>
      </w:r>
    </w:p>
    <w:p w:rsidR="00306964" w:rsidRPr="00EA4064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размер дефицита бюджета не более 7,5</w:t>
      </w:r>
      <w:r w:rsidR="00054811" w:rsidRPr="00EA4064">
        <w:rPr>
          <w:sz w:val="28"/>
          <w:szCs w:val="28"/>
        </w:rPr>
        <w:t xml:space="preserve"> </w:t>
      </w:r>
      <w:r w:rsidRPr="00EA4064">
        <w:rPr>
          <w:sz w:val="28"/>
          <w:szCs w:val="28"/>
        </w:rPr>
        <w:t>%;</w:t>
      </w:r>
    </w:p>
    <w:p w:rsidR="00306964" w:rsidRPr="00EA4064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ежегодное снижение объема просроченной кредиторской задолженности;</w:t>
      </w:r>
    </w:p>
    <w:p w:rsidR="001A4CB5" w:rsidRPr="00EA4064" w:rsidRDefault="001A4CB5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уровень муниципального долга не более 50</w:t>
      </w:r>
      <w:r w:rsidR="00054811" w:rsidRPr="00EA4064">
        <w:rPr>
          <w:sz w:val="28"/>
          <w:szCs w:val="28"/>
        </w:rPr>
        <w:t xml:space="preserve"> </w:t>
      </w:r>
      <w:r w:rsidRPr="00EA4064">
        <w:rPr>
          <w:sz w:val="28"/>
          <w:szCs w:val="28"/>
        </w:rPr>
        <w:t>% утвержденного годового объема собственных доходов бюджета района;</w:t>
      </w:r>
    </w:p>
    <w:p w:rsidR="001A4CB5" w:rsidRPr="00EA4064" w:rsidRDefault="001A4CB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sz w:val="28"/>
          <w:szCs w:val="28"/>
        </w:rPr>
        <w:t xml:space="preserve">- </w:t>
      </w:r>
      <w:r w:rsidRPr="00EA4064">
        <w:rPr>
          <w:rFonts w:ascii="Times New Roman" w:hAnsi="Times New Roman" w:cs="Times New Roman"/>
          <w:sz w:val="28"/>
          <w:szCs w:val="28"/>
        </w:rPr>
        <w:t>открытость деятельности финансового управления и доступность информации о бюджетном процессе;</w:t>
      </w:r>
    </w:p>
    <w:p w:rsidR="00F2201B" w:rsidRPr="00EA4064" w:rsidRDefault="00F2201B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-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</w:r>
      <w:r w:rsidR="00EA4064">
        <w:rPr>
          <w:rFonts w:ascii="Times New Roman" w:hAnsi="Times New Roman" w:cs="Times New Roman"/>
          <w:sz w:val="28"/>
          <w:szCs w:val="28"/>
        </w:rPr>
        <w:t>;</w:t>
      </w:r>
      <w:r w:rsidRPr="00EA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05" w:rsidRPr="00EA4064" w:rsidRDefault="00924C0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 xml:space="preserve">- сбалансированность </w:t>
      </w:r>
      <w:r w:rsidR="00054811" w:rsidRPr="00EA4064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EA406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333FE">
        <w:rPr>
          <w:rFonts w:ascii="Times New Roman" w:hAnsi="Times New Roman" w:cs="Times New Roman"/>
        </w:rPr>
        <w:t>: 2017 год – 8 857 тыс</w:t>
      </w:r>
      <w:proofErr w:type="gramStart"/>
      <w:r w:rsidR="00E333FE">
        <w:rPr>
          <w:rFonts w:ascii="Times New Roman" w:hAnsi="Times New Roman" w:cs="Times New Roman"/>
        </w:rPr>
        <w:t>.р</w:t>
      </w:r>
      <w:proofErr w:type="gramEnd"/>
      <w:r w:rsidR="00E333FE">
        <w:rPr>
          <w:rFonts w:ascii="Times New Roman" w:hAnsi="Times New Roman" w:cs="Times New Roman"/>
        </w:rPr>
        <w:t>уб., 2018 год – 9 264 тыс.руб., 2019 год – 9 498 тыс.руб.</w:t>
      </w:r>
    </w:p>
    <w:p w:rsidR="001A4CB5" w:rsidRDefault="00E333FE" w:rsidP="0030696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 w:firstRow="1" w:lastRow="0" w:firstColumn="1" w:lastColumn="0" w:noHBand="0" w:noVBand="0"/>
      </w:tblPr>
      <w:tblGrid>
        <w:gridCol w:w="621"/>
        <w:gridCol w:w="5200"/>
        <w:gridCol w:w="4213"/>
      </w:tblGrid>
      <w:tr w:rsidR="00180A60" w:rsidRPr="00C73B55" w:rsidTr="00180A60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gramEnd"/>
            <w:r w:rsidRPr="00C73B55">
              <w:rPr>
                <w:sz w:val="23"/>
                <w:szCs w:val="23"/>
              </w:rPr>
              <w:t>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180A60" w:rsidRPr="00C73B55" w:rsidTr="007A4E55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ind w:left="21" w:hanging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DD6224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финансового управления;</w:t>
            </w:r>
          </w:p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МКУ «ЦБ ЧРМО»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F915E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рассчитывается на основе данных финансового управления АЧРМО и </w:t>
            </w:r>
            <w:r w:rsidRPr="00F915EA">
              <w:rPr>
                <w:sz w:val="23"/>
                <w:szCs w:val="23"/>
              </w:rPr>
              <w:t>МКУ «ЦБ ЧРМО»</w:t>
            </w:r>
            <w:r>
              <w:rPr>
                <w:sz w:val="23"/>
                <w:szCs w:val="23"/>
              </w:rPr>
              <w:t xml:space="preserve"> о фактическом обучении сотрудников:</w:t>
            </w:r>
          </w:p>
          <w:p w:rsidR="00F915EA" w:rsidRPr="00976B33" w:rsidRDefault="00F915EA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 xml:space="preserve">= </w:t>
            </w:r>
            <w:r w:rsidR="00976B33">
              <w:rPr>
                <w:sz w:val="23"/>
                <w:szCs w:val="23"/>
              </w:rPr>
              <w:t xml:space="preserve">∑ </w:t>
            </w:r>
            <w:proofErr w:type="gramStart"/>
            <w:r w:rsidR="00976B33">
              <w:rPr>
                <w:sz w:val="23"/>
                <w:szCs w:val="23"/>
              </w:rPr>
              <w:t>К</w:t>
            </w:r>
            <w:r w:rsidR="00976B33">
              <w:rPr>
                <w:sz w:val="23"/>
                <w:szCs w:val="23"/>
                <w:vertAlign w:val="subscript"/>
              </w:rPr>
              <w:t>ОС</w:t>
            </w:r>
            <w:proofErr w:type="gramEnd"/>
            <w:r w:rsidR="00976B33">
              <w:rPr>
                <w:sz w:val="23"/>
                <w:szCs w:val="23"/>
                <w:vertAlign w:val="subscript"/>
              </w:rPr>
              <w:t xml:space="preserve">, </w:t>
            </w:r>
            <w:r w:rsidR="00976B33">
              <w:rPr>
                <w:sz w:val="23"/>
                <w:szCs w:val="23"/>
              </w:rPr>
              <w:t>где К</w:t>
            </w:r>
            <w:r w:rsidR="00976B33">
              <w:rPr>
                <w:sz w:val="23"/>
                <w:szCs w:val="23"/>
                <w:vertAlign w:val="subscript"/>
              </w:rPr>
              <w:t xml:space="preserve">ОС </w:t>
            </w:r>
            <w:r w:rsidR="00976B33">
              <w:rPr>
                <w:sz w:val="23"/>
                <w:szCs w:val="23"/>
              </w:rPr>
              <w:t>– количество фактически обученных сотрудников.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обучающих семинаров для специалистов поселений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33" w:rsidRDefault="00976B33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обучающих семинаров:</w:t>
            </w:r>
          </w:p>
          <w:p w:rsidR="00180A60" w:rsidRPr="00880647" w:rsidRDefault="00976B33" w:rsidP="00976B3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 xml:space="preserve">= ∑ </w:t>
            </w:r>
            <w:proofErr w:type="gramStart"/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ОС</w:t>
            </w:r>
            <w:proofErr w:type="gramEnd"/>
            <w:r>
              <w:rPr>
                <w:sz w:val="23"/>
                <w:szCs w:val="23"/>
                <w:vertAlign w:val="subscript"/>
              </w:rPr>
              <w:t xml:space="preserve">,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>– количество фактически проведенных семинаров.</w:t>
            </w:r>
          </w:p>
        </w:tc>
      </w:tr>
      <w:tr w:rsidR="00180A60" w:rsidRPr="00B50D3A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880647" w:rsidRDefault="00180A60" w:rsidP="00B50D3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2E52F9" w:rsidRDefault="00B50D3A" w:rsidP="00B50D3A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06121F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</w:t>
            </w:r>
            <w:r w:rsidRPr="0006121F">
              <w:rPr>
                <w:sz w:val="23"/>
                <w:szCs w:val="23"/>
              </w:rPr>
              <w:t xml:space="preserve"> доступа через интернет к информационным справочным системам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976B33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953261" w:rsidRDefault="00180A60" w:rsidP="00B50D3A">
            <w:pPr>
              <w:rPr>
                <w:sz w:val="23"/>
                <w:szCs w:val="23"/>
                <w:highlight w:val="green"/>
              </w:rPr>
            </w:pPr>
            <w:r w:rsidRPr="00AA5506">
              <w:rPr>
                <w:sz w:val="23"/>
                <w:szCs w:val="23"/>
              </w:rPr>
              <w:t xml:space="preserve">Приобретение дополнительных программных модулей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976B33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180A60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1865E3" w:rsidRDefault="001865E3" w:rsidP="00B50D3A">
            <w:pPr>
              <w:rPr>
                <w:sz w:val="23"/>
                <w:szCs w:val="23"/>
              </w:rPr>
            </w:pPr>
            <w:r w:rsidRPr="001865E3">
              <w:rPr>
                <w:sz w:val="23"/>
                <w:szCs w:val="23"/>
              </w:rPr>
              <w:t>Источник: данные опубликованные</w:t>
            </w:r>
            <w:r>
              <w:rPr>
                <w:sz w:val="23"/>
                <w:szCs w:val="23"/>
              </w:rPr>
              <w:t xml:space="preserve"> на официальном сайте ЧРМО в информационно-телекоммуникационной сети «Интернет»: </w:t>
            </w:r>
            <w:r w:rsidRPr="001865E3">
              <w:rPr>
                <w:sz w:val="23"/>
                <w:szCs w:val="23"/>
                <w:u w:val="single"/>
                <w:lang w:val="en-US"/>
              </w:rPr>
              <w:t>www</w:t>
            </w:r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cher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irkobl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r w:rsidRPr="001865E3">
              <w:rPr>
                <w:sz w:val="23"/>
                <w:szCs w:val="23"/>
              </w:rPr>
              <w:t xml:space="preserve"> 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33" w:rsidRDefault="00976B33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анализ</w:t>
            </w:r>
            <w:r w:rsidR="007A4E55">
              <w:rPr>
                <w:sz w:val="23"/>
                <w:szCs w:val="23"/>
              </w:rPr>
              <w:t>ов</w:t>
            </w:r>
            <w:r>
              <w:rPr>
                <w:sz w:val="23"/>
                <w:szCs w:val="23"/>
              </w:rPr>
              <w:t>:</w:t>
            </w:r>
          </w:p>
          <w:p w:rsidR="00180A60" w:rsidRPr="00880647" w:rsidRDefault="00976B33" w:rsidP="00976B3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А </w:t>
            </w:r>
            <w:r>
              <w:rPr>
                <w:sz w:val="23"/>
                <w:szCs w:val="23"/>
              </w:rPr>
              <w:t xml:space="preserve">= ∑ </w:t>
            </w:r>
            <w:proofErr w:type="gramStart"/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А</w:t>
            </w:r>
            <w:proofErr w:type="gramEnd"/>
            <w:r>
              <w:rPr>
                <w:sz w:val="23"/>
                <w:szCs w:val="23"/>
                <w:vertAlign w:val="subscript"/>
              </w:rPr>
              <w:t xml:space="preserve">,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А </w:t>
            </w:r>
            <w:r>
              <w:rPr>
                <w:sz w:val="23"/>
                <w:szCs w:val="23"/>
              </w:rPr>
              <w:t>– количество фактически проведенных анализов осуществления главными администраторами бюджетных средств внутреннего финансового контроля.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96000F" w:rsidRDefault="00180A60" w:rsidP="00B50D3A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278" w:rsidRDefault="00881278" w:rsidP="008812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ревизий и проверок:</w:t>
            </w:r>
          </w:p>
          <w:p w:rsidR="00180A60" w:rsidRDefault="00881278" w:rsidP="007A4E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ВП </w:t>
            </w:r>
            <w:r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К1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К2</m:t>
                  </m:r>
                </m:den>
              </m:f>
            </m:oMath>
            <w:r w:rsidRPr="00881278">
              <w:rPr>
                <w:vertAlign w:val="subscript"/>
              </w:rPr>
              <w:t>,</w:t>
            </w:r>
            <m:oMath>
              <m:r>
                <w:rPr>
                  <w:rFonts w:ascii="Cambria Math" w:hAnsi="Cambria Math"/>
                  <w:vertAlign w:val="subscript"/>
                </w:rPr>
                <m:t>×100%,</m:t>
              </m:r>
            </m:oMath>
            <w:r>
              <w:rPr>
                <w:sz w:val="23"/>
                <w:szCs w:val="23"/>
                <w:vertAlign w:val="subscript"/>
              </w:rPr>
              <w:t xml:space="preserve">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1 </w:t>
            </w:r>
            <w:r>
              <w:rPr>
                <w:sz w:val="23"/>
                <w:szCs w:val="23"/>
              </w:rPr>
              <w:t>–</w:t>
            </w:r>
            <w:r w:rsidR="007A4E55">
              <w:rPr>
                <w:sz w:val="23"/>
                <w:szCs w:val="23"/>
              </w:rPr>
              <w:t xml:space="preserve"> количество фактически проведенных ревизий и проверок</w:t>
            </w:r>
            <w:r>
              <w:rPr>
                <w:sz w:val="23"/>
                <w:szCs w:val="23"/>
              </w:rPr>
              <w:t xml:space="preserve">, </w:t>
            </w:r>
            <w:r w:rsidR="007A4E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–</w:t>
            </w:r>
            <w:r w:rsidR="007A4E55">
              <w:rPr>
                <w:sz w:val="23"/>
                <w:szCs w:val="23"/>
              </w:rPr>
              <w:t xml:space="preserve"> плановое  количество проведения ревизий и проверок</w:t>
            </w:r>
            <w:r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826F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сбалансированности поселений (формирование фонда финансовой поддержки) 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180A60" w:rsidRDefault="00180A60" w:rsidP="00306964">
      <w:pPr>
        <w:ind w:left="360" w:firstLine="348"/>
        <w:jc w:val="both"/>
        <w:rPr>
          <w:sz w:val="28"/>
          <w:szCs w:val="28"/>
        </w:rPr>
      </w:pPr>
    </w:p>
    <w:p w:rsidR="00180A60" w:rsidRPr="001A4CB5" w:rsidRDefault="00180A60" w:rsidP="00306964">
      <w:pPr>
        <w:ind w:left="360" w:firstLine="348"/>
        <w:jc w:val="both"/>
        <w:rPr>
          <w:sz w:val="28"/>
          <w:szCs w:val="28"/>
        </w:rPr>
      </w:pPr>
    </w:p>
    <w:p w:rsidR="0006121F" w:rsidRDefault="0006121F" w:rsidP="001865E3">
      <w:pPr>
        <w:ind w:left="360"/>
        <w:jc w:val="both"/>
        <w:rPr>
          <w:sz w:val="28"/>
          <w:szCs w:val="28"/>
        </w:rPr>
      </w:pPr>
      <w:r w:rsidRPr="0006121F">
        <w:rPr>
          <w:sz w:val="24"/>
          <w:szCs w:val="24"/>
        </w:rPr>
        <w:t xml:space="preserve">  </w:t>
      </w: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ПОКАЗАТЕЛИ РЕЗУЛЬТАТИВНОСТИ </w:t>
      </w: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C23493" w:rsidRPr="00C54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17C0" w:rsidRPr="00C73B55" w:rsidRDefault="008D17C0" w:rsidP="008D17C0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269" w:type="dxa"/>
        <w:jc w:val="center"/>
        <w:tblInd w:w="733" w:type="dxa"/>
        <w:tblLook w:val="00A0" w:firstRow="1" w:lastRow="0" w:firstColumn="1" w:lastColumn="0" w:noHBand="0" w:noVBand="0"/>
      </w:tblPr>
      <w:tblGrid>
        <w:gridCol w:w="575"/>
        <w:gridCol w:w="3728"/>
        <w:gridCol w:w="1076"/>
        <w:gridCol w:w="1275"/>
        <w:gridCol w:w="1380"/>
        <w:gridCol w:w="1115"/>
        <w:gridCol w:w="1120"/>
      </w:tblGrid>
      <w:tr w:rsidR="008D17C0" w:rsidRPr="00C73B55" w:rsidTr="003A7375">
        <w:trPr>
          <w:trHeight w:val="690"/>
          <w:tblHeader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gramEnd"/>
            <w:r w:rsidRPr="00C73B55">
              <w:rPr>
                <w:sz w:val="23"/>
                <w:szCs w:val="23"/>
              </w:rPr>
              <w:t>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Базовое значение за   </w:t>
            </w:r>
            <w:r w:rsidR="00C23493">
              <w:rPr>
                <w:sz w:val="23"/>
                <w:szCs w:val="23"/>
              </w:rPr>
              <w:t xml:space="preserve">2016 </w:t>
            </w:r>
            <w:r w:rsidRPr="00C73B55">
              <w:rPr>
                <w:sz w:val="23"/>
                <w:szCs w:val="23"/>
              </w:rPr>
              <w:t>год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953261" w:rsidRPr="00C73B55" w:rsidTr="003A7375">
        <w:trPr>
          <w:trHeight w:val="600"/>
          <w:tblHeader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8D17C0" w:rsidRPr="00C73B55">
              <w:rPr>
                <w:sz w:val="23"/>
                <w:szCs w:val="23"/>
              </w:rPr>
              <w:t xml:space="preserve"> 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  <w:r w:rsidR="008D17C0" w:rsidRPr="00C73B5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9532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  <w:r w:rsidR="00953261">
              <w:rPr>
                <w:sz w:val="23"/>
                <w:szCs w:val="23"/>
              </w:rPr>
              <w:t xml:space="preserve"> </w:t>
            </w:r>
            <w:r w:rsidR="008D17C0" w:rsidRPr="00C73B55">
              <w:rPr>
                <w:sz w:val="23"/>
                <w:szCs w:val="23"/>
              </w:rPr>
              <w:t>год</w:t>
            </w:r>
          </w:p>
        </w:tc>
      </w:tr>
      <w:tr w:rsidR="008D17C0" w:rsidRPr="00C73B55" w:rsidTr="003A7375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 на 2017-2019 годы»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C2380" w:rsidP="00F45D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F45D6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</w:t>
            </w:r>
            <w:r w:rsidR="00F45D6B"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107,8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3A7375">
            <w:pPr>
              <w:ind w:left="21" w:hanging="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финансового управления;</w:t>
            </w:r>
          </w:p>
          <w:p w:rsidR="00C23493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МКУ «ЦБ ЧРМО»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Default="00C23493" w:rsidP="00C23493">
            <w:pPr>
              <w:jc w:val="center"/>
              <w:rPr>
                <w:sz w:val="23"/>
                <w:szCs w:val="23"/>
              </w:rPr>
            </w:pPr>
          </w:p>
          <w:p w:rsidR="00DD6224" w:rsidRDefault="00DD6224" w:rsidP="00C23493">
            <w:pPr>
              <w:jc w:val="center"/>
              <w:rPr>
                <w:sz w:val="23"/>
                <w:szCs w:val="23"/>
              </w:rPr>
            </w:pPr>
          </w:p>
          <w:p w:rsidR="00C23493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DD6224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обучающих семинаров для специалистов поселений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3656A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880647" w:rsidRDefault="00C23493" w:rsidP="00C2349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2E52F9" w:rsidRDefault="002E52F9" w:rsidP="00880647">
            <w:pPr>
              <w:jc w:val="center"/>
              <w:rPr>
                <w:sz w:val="23"/>
                <w:szCs w:val="23"/>
                <w:highlight w:val="yellow"/>
              </w:rPr>
            </w:pPr>
            <w:r w:rsidRPr="00880647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06121F" w:rsidRDefault="00F45D6B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</w:t>
            </w:r>
            <w:r w:rsidR="003D37A3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чение</w:t>
            </w:r>
            <w:r w:rsidR="002E52F9" w:rsidRPr="0006121F">
              <w:rPr>
                <w:sz w:val="23"/>
                <w:szCs w:val="23"/>
              </w:rPr>
              <w:t xml:space="preserve"> доступа через интернет к информационным справочным системам</w:t>
            </w:r>
            <w:r w:rsidR="00C23493" w:rsidRPr="000612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953261" w:rsidRDefault="002E52F9" w:rsidP="00C23493">
            <w:pPr>
              <w:rPr>
                <w:sz w:val="23"/>
                <w:szCs w:val="23"/>
                <w:highlight w:val="green"/>
              </w:rPr>
            </w:pPr>
            <w:r w:rsidRPr="00AA5506">
              <w:rPr>
                <w:sz w:val="23"/>
                <w:szCs w:val="23"/>
              </w:rPr>
              <w:t>Приобретение дополнительных программных модулей</w:t>
            </w:r>
            <w:r w:rsidR="00C23493" w:rsidRPr="00AA550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2201B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01B" w:rsidRDefault="00F2201B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  <w:r w:rsidR="00EA4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53261" w:rsidRPr="00C73B55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53261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C73B55" w:rsidRDefault="00953261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880647" w:rsidRDefault="00953261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3261" w:rsidRDefault="00953261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2201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96000F" w:rsidRDefault="00953261" w:rsidP="008A0699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826F94" w:rsidRPr="00C73B55" w:rsidTr="00390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F94" w:rsidRPr="00C73B55" w:rsidRDefault="00826F94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C73B55" w:rsidRDefault="00826F94" w:rsidP="00826F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сбалансированности поселений (формирование фонда финансовой поддержки)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94" w:rsidRPr="00C73B55" w:rsidRDefault="00826F94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</w:t>
            </w:r>
            <w:r w:rsidR="001026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94" w:rsidRPr="00C73B55" w:rsidRDefault="00826F94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8 608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A47E19">
            <w:pPr>
              <w:jc w:val="center"/>
              <w:rPr>
                <w:sz w:val="23"/>
                <w:szCs w:val="23"/>
              </w:rPr>
            </w:pPr>
          </w:p>
          <w:p w:rsidR="00826F94" w:rsidRPr="00917CBC" w:rsidRDefault="00826F94" w:rsidP="00A47E19">
            <w:pPr>
              <w:jc w:val="center"/>
              <w:rPr>
                <w:sz w:val="23"/>
                <w:szCs w:val="23"/>
              </w:rPr>
            </w:pPr>
            <w:r w:rsidRPr="00917CBC">
              <w:rPr>
                <w:sz w:val="23"/>
                <w:szCs w:val="23"/>
              </w:rPr>
              <w:t>47 550,0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A47E19">
            <w:pPr>
              <w:jc w:val="center"/>
              <w:rPr>
                <w:sz w:val="23"/>
                <w:szCs w:val="23"/>
              </w:rPr>
            </w:pPr>
          </w:p>
          <w:p w:rsidR="00826F94" w:rsidRPr="00917CBC" w:rsidRDefault="00826F94" w:rsidP="00A47E19">
            <w:pPr>
              <w:jc w:val="center"/>
              <w:rPr>
                <w:sz w:val="23"/>
                <w:szCs w:val="23"/>
              </w:rPr>
            </w:pPr>
            <w:r w:rsidRPr="00917CBC">
              <w:rPr>
                <w:sz w:val="23"/>
                <w:szCs w:val="23"/>
              </w:rPr>
              <w:t>36</w:t>
            </w:r>
            <w:r>
              <w:rPr>
                <w:sz w:val="23"/>
                <w:szCs w:val="23"/>
              </w:rPr>
              <w:t> 837,0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A47E19">
            <w:pPr>
              <w:jc w:val="center"/>
              <w:rPr>
                <w:sz w:val="23"/>
                <w:szCs w:val="23"/>
              </w:rPr>
            </w:pPr>
          </w:p>
          <w:p w:rsidR="00826F94" w:rsidRPr="00917CBC" w:rsidRDefault="00826F94" w:rsidP="00A47E19">
            <w:pPr>
              <w:jc w:val="center"/>
              <w:rPr>
                <w:sz w:val="23"/>
                <w:szCs w:val="23"/>
              </w:rPr>
            </w:pPr>
            <w:r w:rsidRPr="00917CBC">
              <w:rPr>
                <w:sz w:val="23"/>
                <w:szCs w:val="23"/>
              </w:rPr>
              <w:t>36 892,0</w:t>
            </w:r>
          </w:p>
        </w:tc>
      </w:tr>
    </w:tbl>
    <w:p w:rsidR="006E389B" w:rsidRDefault="006E389B" w:rsidP="006E389B">
      <w:pPr>
        <w:rPr>
          <w:sz w:val="28"/>
          <w:szCs w:val="28"/>
        </w:rPr>
      </w:pPr>
    </w:p>
    <w:p w:rsidR="003A7375" w:rsidRDefault="003A7375" w:rsidP="006E389B">
      <w:pPr>
        <w:rPr>
          <w:sz w:val="28"/>
          <w:szCs w:val="28"/>
        </w:rPr>
      </w:pPr>
    </w:p>
    <w:p w:rsidR="003A7375" w:rsidRPr="003A7375" w:rsidRDefault="003A7375" w:rsidP="006E389B">
      <w:pPr>
        <w:rPr>
          <w:sz w:val="24"/>
          <w:szCs w:val="24"/>
        </w:rPr>
      </w:pPr>
      <w:r w:rsidRPr="003A7375">
        <w:rPr>
          <w:sz w:val="24"/>
          <w:szCs w:val="24"/>
        </w:rPr>
        <w:t xml:space="preserve">Начальник финансового управления            </w:t>
      </w:r>
      <w:r>
        <w:rPr>
          <w:sz w:val="24"/>
          <w:szCs w:val="24"/>
        </w:rPr>
        <w:t xml:space="preserve">                        </w:t>
      </w:r>
      <w:r w:rsidRPr="003A7375">
        <w:rPr>
          <w:sz w:val="24"/>
          <w:szCs w:val="24"/>
        </w:rPr>
        <w:t xml:space="preserve">                                               Ю.Н. Гайдук</w:t>
      </w:r>
    </w:p>
    <w:sectPr w:rsidR="003A7375" w:rsidRPr="003A7375" w:rsidSect="00C54369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15" w:rsidRDefault="00B14E15" w:rsidP="00BC7E5D">
      <w:r>
        <w:separator/>
      </w:r>
    </w:p>
  </w:endnote>
  <w:endnote w:type="continuationSeparator" w:id="0">
    <w:p w:rsidR="00B14E15" w:rsidRDefault="00B14E15" w:rsidP="00B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15" w:rsidRDefault="00B14E15" w:rsidP="00BC7E5D">
      <w:r>
        <w:separator/>
      </w:r>
    </w:p>
  </w:footnote>
  <w:footnote w:type="continuationSeparator" w:id="0">
    <w:p w:rsidR="00B14E15" w:rsidRDefault="00B14E15" w:rsidP="00BC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242"/>
      <w:docPartObj>
        <w:docPartGallery w:val="Page Numbers (Top of Page)"/>
        <w:docPartUnique/>
      </w:docPartObj>
    </w:sdtPr>
    <w:sdtEndPr/>
    <w:sdtContent>
      <w:p w:rsidR="007133DC" w:rsidRDefault="00B14E1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3DC" w:rsidRDefault="007133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5524"/>
    <w:multiLevelType w:val="hybridMultilevel"/>
    <w:tmpl w:val="52027ED0"/>
    <w:lvl w:ilvl="0" w:tplc="5830C3C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4FB5"/>
    <w:multiLevelType w:val="hybridMultilevel"/>
    <w:tmpl w:val="1C3EE060"/>
    <w:lvl w:ilvl="0" w:tplc="EBF817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6"/>
  </w:num>
  <w:num w:numId="8">
    <w:abstractNumId w:val="12"/>
  </w:num>
  <w:num w:numId="9">
    <w:abstractNumId w:val="7"/>
  </w:num>
  <w:num w:numId="10">
    <w:abstractNumId w:val="15"/>
  </w:num>
  <w:num w:numId="11">
    <w:abstractNumId w:val="2"/>
  </w:num>
  <w:num w:numId="12">
    <w:abstractNumId w:val="6"/>
  </w:num>
  <w:num w:numId="13">
    <w:abstractNumId w:val="13"/>
  </w:num>
  <w:num w:numId="14">
    <w:abstractNumId w:val="14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C83"/>
    <w:rsid w:val="000032D8"/>
    <w:rsid w:val="00052482"/>
    <w:rsid w:val="00054811"/>
    <w:rsid w:val="0006121F"/>
    <w:rsid w:val="0007670F"/>
    <w:rsid w:val="0010262F"/>
    <w:rsid w:val="001075FA"/>
    <w:rsid w:val="00175012"/>
    <w:rsid w:val="00180A60"/>
    <w:rsid w:val="001865E3"/>
    <w:rsid w:val="001A090A"/>
    <w:rsid w:val="001A4CB5"/>
    <w:rsid w:val="001D6C25"/>
    <w:rsid w:val="00227598"/>
    <w:rsid w:val="00232251"/>
    <w:rsid w:val="00233D95"/>
    <w:rsid w:val="002429DA"/>
    <w:rsid w:val="002671E9"/>
    <w:rsid w:val="00285D51"/>
    <w:rsid w:val="002C54B3"/>
    <w:rsid w:val="002E52F9"/>
    <w:rsid w:val="002E7298"/>
    <w:rsid w:val="002F0A80"/>
    <w:rsid w:val="00303580"/>
    <w:rsid w:val="00306964"/>
    <w:rsid w:val="00310A72"/>
    <w:rsid w:val="00331689"/>
    <w:rsid w:val="00332C3A"/>
    <w:rsid w:val="003420F8"/>
    <w:rsid w:val="003A3B3C"/>
    <w:rsid w:val="003A7375"/>
    <w:rsid w:val="003D37A3"/>
    <w:rsid w:val="003D3BCD"/>
    <w:rsid w:val="003E464D"/>
    <w:rsid w:val="004165B9"/>
    <w:rsid w:val="00416C44"/>
    <w:rsid w:val="00457535"/>
    <w:rsid w:val="00461911"/>
    <w:rsid w:val="00474736"/>
    <w:rsid w:val="00486D18"/>
    <w:rsid w:val="004B6EEF"/>
    <w:rsid w:val="0051598B"/>
    <w:rsid w:val="00547EA4"/>
    <w:rsid w:val="0057595D"/>
    <w:rsid w:val="005E3EAC"/>
    <w:rsid w:val="005F7C75"/>
    <w:rsid w:val="00606BE4"/>
    <w:rsid w:val="00622F4C"/>
    <w:rsid w:val="0065698A"/>
    <w:rsid w:val="0068036A"/>
    <w:rsid w:val="006B50A5"/>
    <w:rsid w:val="006B790E"/>
    <w:rsid w:val="006C3C83"/>
    <w:rsid w:val="006E389B"/>
    <w:rsid w:val="006E3E47"/>
    <w:rsid w:val="007133DC"/>
    <w:rsid w:val="00753C79"/>
    <w:rsid w:val="00773959"/>
    <w:rsid w:val="007A4E55"/>
    <w:rsid w:val="007B6419"/>
    <w:rsid w:val="007B6C6B"/>
    <w:rsid w:val="007D7E15"/>
    <w:rsid w:val="00816FA2"/>
    <w:rsid w:val="00823867"/>
    <w:rsid w:val="00823E50"/>
    <w:rsid w:val="00825E7A"/>
    <w:rsid w:val="00826F94"/>
    <w:rsid w:val="008461BF"/>
    <w:rsid w:val="00877F79"/>
    <w:rsid w:val="00880647"/>
    <w:rsid w:val="00881278"/>
    <w:rsid w:val="00884883"/>
    <w:rsid w:val="008A0699"/>
    <w:rsid w:val="008C7576"/>
    <w:rsid w:val="008D17C0"/>
    <w:rsid w:val="008E780D"/>
    <w:rsid w:val="00914738"/>
    <w:rsid w:val="00920D7B"/>
    <w:rsid w:val="00923F41"/>
    <w:rsid w:val="00924C05"/>
    <w:rsid w:val="00931D30"/>
    <w:rsid w:val="0094260F"/>
    <w:rsid w:val="00944273"/>
    <w:rsid w:val="009517EB"/>
    <w:rsid w:val="00953261"/>
    <w:rsid w:val="009535D0"/>
    <w:rsid w:val="009573E5"/>
    <w:rsid w:val="0096000F"/>
    <w:rsid w:val="00976B33"/>
    <w:rsid w:val="009872E1"/>
    <w:rsid w:val="009A1D19"/>
    <w:rsid w:val="009C72C4"/>
    <w:rsid w:val="009D1C6F"/>
    <w:rsid w:val="009D6DC5"/>
    <w:rsid w:val="009F48AF"/>
    <w:rsid w:val="00A17C5D"/>
    <w:rsid w:val="00A2355F"/>
    <w:rsid w:val="00A3656A"/>
    <w:rsid w:val="00A67129"/>
    <w:rsid w:val="00A7395E"/>
    <w:rsid w:val="00A93909"/>
    <w:rsid w:val="00AA5506"/>
    <w:rsid w:val="00AB410E"/>
    <w:rsid w:val="00AD5E3F"/>
    <w:rsid w:val="00AD779D"/>
    <w:rsid w:val="00AE3BDA"/>
    <w:rsid w:val="00B073E0"/>
    <w:rsid w:val="00B14E15"/>
    <w:rsid w:val="00B22048"/>
    <w:rsid w:val="00B24EC9"/>
    <w:rsid w:val="00B50D3A"/>
    <w:rsid w:val="00B7066A"/>
    <w:rsid w:val="00B920AE"/>
    <w:rsid w:val="00BC22A3"/>
    <w:rsid w:val="00BC7E5D"/>
    <w:rsid w:val="00C2027A"/>
    <w:rsid w:val="00C22E97"/>
    <w:rsid w:val="00C23493"/>
    <w:rsid w:val="00C54369"/>
    <w:rsid w:val="00C84D92"/>
    <w:rsid w:val="00C93833"/>
    <w:rsid w:val="00CA2CC7"/>
    <w:rsid w:val="00CC04BB"/>
    <w:rsid w:val="00CC5499"/>
    <w:rsid w:val="00CD7CB3"/>
    <w:rsid w:val="00CE7268"/>
    <w:rsid w:val="00CF2C95"/>
    <w:rsid w:val="00CF688F"/>
    <w:rsid w:val="00D206E3"/>
    <w:rsid w:val="00D25D20"/>
    <w:rsid w:val="00D30A12"/>
    <w:rsid w:val="00D43757"/>
    <w:rsid w:val="00D516A4"/>
    <w:rsid w:val="00D812D4"/>
    <w:rsid w:val="00DB072F"/>
    <w:rsid w:val="00DB5C58"/>
    <w:rsid w:val="00DC2380"/>
    <w:rsid w:val="00DC7437"/>
    <w:rsid w:val="00DD4EB1"/>
    <w:rsid w:val="00DD6224"/>
    <w:rsid w:val="00DE280D"/>
    <w:rsid w:val="00DF3008"/>
    <w:rsid w:val="00DF3EEE"/>
    <w:rsid w:val="00DF71A0"/>
    <w:rsid w:val="00DF7CDB"/>
    <w:rsid w:val="00E07ADF"/>
    <w:rsid w:val="00E1755A"/>
    <w:rsid w:val="00E333FE"/>
    <w:rsid w:val="00E53306"/>
    <w:rsid w:val="00E54F5B"/>
    <w:rsid w:val="00E677A7"/>
    <w:rsid w:val="00EA4064"/>
    <w:rsid w:val="00EA4F11"/>
    <w:rsid w:val="00EA718B"/>
    <w:rsid w:val="00EB0B8D"/>
    <w:rsid w:val="00EC68ED"/>
    <w:rsid w:val="00F16711"/>
    <w:rsid w:val="00F2201B"/>
    <w:rsid w:val="00F23D08"/>
    <w:rsid w:val="00F45D6B"/>
    <w:rsid w:val="00F768F0"/>
    <w:rsid w:val="00F77221"/>
    <w:rsid w:val="00F915EA"/>
    <w:rsid w:val="00F96E86"/>
    <w:rsid w:val="00FA0B91"/>
    <w:rsid w:val="00FA7201"/>
    <w:rsid w:val="00FC000C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07BC0E4FAE3705D3FFC939132313337D694B04466F9679730033832BP4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9814-11AA-45E3-8B3A-8CAFD220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16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1</cp:lastModifiedBy>
  <cp:revision>26</cp:revision>
  <cp:lastPrinted>2016-10-17T05:32:00Z</cp:lastPrinted>
  <dcterms:created xsi:type="dcterms:W3CDTF">2016-09-16T02:41:00Z</dcterms:created>
  <dcterms:modified xsi:type="dcterms:W3CDTF">2017-03-21T07:45:00Z</dcterms:modified>
</cp:coreProperties>
</file>